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50" w:rsidRPr="00A22B53" w:rsidRDefault="00E81350" w:rsidP="00E81350">
      <w:pPr>
        <w:keepNext/>
        <w:spacing w:line="914" w:lineRule="exact"/>
        <w:ind w:left="0" w:firstLine="0"/>
        <w:rPr>
          <w:sz w:val="24"/>
        </w:rPr>
      </w:pPr>
      <w:bookmarkStart w:id="0" w:name="_GoBack"/>
      <w:bookmarkEnd w:id="0"/>
      <w:r w:rsidRPr="00F471CB">
        <w:rPr>
          <w:rFonts w:ascii="Times New Roman" w:hAnsi="Times New Roman"/>
          <w:position w:val="-11"/>
          <w:sz w:val="100"/>
        </w:rPr>
        <w:t>C</w:t>
      </w:r>
      <w:r w:rsidRPr="00F471CB">
        <w:rPr>
          <w:rFonts w:ascii="Times New Roman" w:hAnsi="Times New Roman"/>
          <w:b/>
          <w:sz w:val="24"/>
        </w:rPr>
        <w:t xml:space="preserve">onseil national consultatif </w:t>
      </w:r>
      <w:r w:rsidRPr="00F471CB">
        <w:rPr>
          <w:rFonts w:ascii="Times New Roman" w:hAnsi="Times New Roman"/>
          <w:b/>
          <w:sz w:val="24"/>
        </w:rPr>
        <w:tab/>
      </w:r>
      <w:r w:rsidRPr="00A22B53">
        <w:rPr>
          <w:b/>
          <w:sz w:val="24"/>
        </w:rPr>
        <w:t xml:space="preserve">                                              </w:t>
      </w:r>
    </w:p>
    <w:p w:rsidR="00E81350" w:rsidRPr="00F471CB" w:rsidRDefault="00E81350" w:rsidP="00E81350">
      <w:pPr>
        <w:tabs>
          <w:tab w:val="left" w:pos="567"/>
        </w:tabs>
        <w:ind w:left="0" w:firstLine="0"/>
        <w:rPr>
          <w:rFonts w:ascii="Times New Roman" w:hAnsi="Times New Roman"/>
          <w:b/>
          <w:sz w:val="24"/>
        </w:rPr>
      </w:pPr>
      <w:r>
        <w:rPr>
          <w:rFonts w:ascii="Times New Roman" w:hAnsi="Times New Roman"/>
          <w:b/>
          <w:sz w:val="24"/>
        </w:rPr>
        <w:t xml:space="preserve">           </w:t>
      </w:r>
      <w:r w:rsidRPr="00F471CB">
        <w:rPr>
          <w:rFonts w:ascii="Times New Roman" w:hAnsi="Times New Roman"/>
          <w:b/>
          <w:sz w:val="24"/>
        </w:rPr>
        <w:t>des personnes  handicapées</w:t>
      </w:r>
    </w:p>
    <w:p w:rsidR="00E81350" w:rsidRDefault="00E81350" w:rsidP="00E81350">
      <w:pPr>
        <w:tabs>
          <w:tab w:val="left" w:pos="567"/>
        </w:tabs>
        <w:rPr>
          <w:rFonts w:ascii="Times New Roman" w:hAnsi="Times New Roman"/>
          <w:sz w:val="24"/>
        </w:rPr>
      </w:pPr>
      <w:r w:rsidRPr="00A22B53">
        <w:rPr>
          <w:sz w:val="24"/>
        </w:rPr>
        <w:tab/>
      </w:r>
      <w:r w:rsidRPr="00F471CB">
        <w:rPr>
          <w:rFonts w:ascii="Times New Roman" w:hAnsi="Times New Roman"/>
          <w:sz w:val="24"/>
        </w:rPr>
        <w:t xml:space="preserve"> </w:t>
      </w:r>
    </w:p>
    <w:p w:rsidR="00E81350" w:rsidRPr="00F471CB" w:rsidRDefault="00E81350" w:rsidP="00E81350">
      <w:pPr>
        <w:tabs>
          <w:tab w:val="left" w:pos="567"/>
        </w:tabs>
        <w:ind w:left="0" w:firstLine="0"/>
        <w:rPr>
          <w:rFonts w:ascii="Times New Roman" w:hAnsi="Times New Roman"/>
          <w:b/>
          <w:sz w:val="24"/>
        </w:rPr>
      </w:pPr>
      <w:r>
        <w:rPr>
          <w:rFonts w:ascii="Times New Roman" w:hAnsi="Times New Roman"/>
          <w:sz w:val="24"/>
        </w:rPr>
        <w:t xml:space="preserve">           </w:t>
      </w:r>
      <w:r w:rsidRPr="00F471CB">
        <w:rPr>
          <w:rFonts w:ascii="Times New Roman" w:hAnsi="Times New Roman"/>
          <w:b/>
          <w:sz w:val="24"/>
        </w:rPr>
        <w:t>CNCPH</w:t>
      </w:r>
    </w:p>
    <w:p w:rsidR="00E81350" w:rsidRDefault="00E81350" w:rsidP="00A44FBF">
      <w:pPr>
        <w:rPr>
          <w:b/>
          <w:sz w:val="22"/>
          <w:szCs w:val="22"/>
        </w:rPr>
      </w:pPr>
    </w:p>
    <w:p w:rsidR="00E81350" w:rsidRDefault="00E81350" w:rsidP="00A44FBF">
      <w:pPr>
        <w:rPr>
          <w:b/>
          <w:sz w:val="22"/>
          <w:szCs w:val="22"/>
        </w:rPr>
      </w:pPr>
    </w:p>
    <w:p w:rsidR="00E81350" w:rsidRDefault="00E81350" w:rsidP="00E81350">
      <w:pPr>
        <w:jc w:val="center"/>
        <w:rPr>
          <w:b/>
          <w:sz w:val="22"/>
          <w:szCs w:val="22"/>
        </w:rPr>
      </w:pPr>
    </w:p>
    <w:p w:rsidR="00E81350" w:rsidRDefault="00E81350" w:rsidP="00E81350">
      <w:pPr>
        <w:jc w:val="center"/>
        <w:rPr>
          <w:b/>
          <w:sz w:val="22"/>
          <w:szCs w:val="22"/>
        </w:rPr>
      </w:pPr>
    </w:p>
    <w:p w:rsidR="003E593B" w:rsidRPr="003E593B" w:rsidRDefault="003E593B" w:rsidP="00F4396D">
      <w:pPr>
        <w:ind w:left="0" w:firstLine="0"/>
        <w:jc w:val="center"/>
        <w:rPr>
          <w:b/>
          <w:sz w:val="22"/>
          <w:szCs w:val="22"/>
        </w:rPr>
      </w:pPr>
      <w:r w:rsidRPr="003E593B">
        <w:rPr>
          <w:b/>
          <w:sz w:val="22"/>
          <w:szCs w:val="22"/>
        </w:rPr>
        <w:t>AVIS DU CNCPH</w:t>
      </w:r>
    </w:p>
    <w:p w:rsidR="00A44FBF" w:rsidRPr="003E593B" w:rsidRDefault="003E593B" w:rsidP="00F4396D">
      <w:pPr>
        <w:ind w:left="0" w:firstLine="0"/>
        <w:jc w:val="center"/>
        <w:rPr>
          <w:b/>
          <w:sz w:val="22"/>
          <w:szCs w:val="22"/>
        </w:rPr>
      </w:pPr>
      <w:r w:rsidRPr="003E593B">
        <w:rPr>
          <w:b/>
          <w:sz w:val="22"/>
          <w:szCs w:val="22"/>
        </w:rPr>
        <w:t>RELATIF AU PROJET D’ORDONNANCE SUR L’ACCESSIBILITE</w:t>
      </w:r>
    </w:p>
    <w:p w:rsidR="003E593B" w:rsidRDefault="003E593B" w:rsidP="00F4396D">
      <w:pPr>
        <w:ind w:left="0" w:firstLine="0"/>
        <w:jc w:val="center"/>
        <w:rPr>
          <w:sz w:val="22"/>
          <w:szCs w:val="22"/>
        </w:rPr>
      </w:pPr>
      <w:r w:rsidRPr="003E593B">
        <w:rPr>
          <w:b/>
          <w:sz w:val="22"/>
          <w:szCs w:val="22"/>
        </w:rPr>
        <w:t>ET AUX MODIFICATIONS REGLEMENTAIRES</w:t>
      </w:r>
    </w:p>
    <w:p w:rsidR="00A44FBF" w:rsidRDefault="00A44FBF" w:rsidP="00F4396D">
      <w:pPr>
        <w:jc w:val="center"/>
        <w:rPr>
          <w:sz w:val="22"/>
          <w:szCs w:val="22"/>
        </w:rPr>
      </w:pPr>
    </w:p>
    <w:p w:rsidR="00A44FBF" w:rsidRDefault="001F50E7" w:rsidP="00F4396D">
      <w:pPr>
        <w:ind w:left="0" w:firstLine="0"/>
        <w:jc w:val="center"/>
        <w:rPr>
          <w:sz w:val="22"/>
          <w:szCs w:val="22"/>
        </w:rPr>
      </w:pPr>
      <w:r>
        <w:rPr>
          <w:sz w:val="22"/>
          <w:szCs w:val="22"/>
        </w:rPr>
        <w:t>S</w:t>
      </w:r>
      <w:r w:rsidR="008D6D11">
        <w:rPr>
          <w:sz w:val="22"/>
          <w:szCs w:val="22"/>
        </w:rPr>
        <w:t>éance du jeudi 10</w:t>
      </w:r>
      <w:r w:rsidR="00E02F89">
        <w:rPr>
          <w:sz w:val="22"/>
          <w:szCs w:val="22"/>
        </w:rPr>
        <w:t xml:space="preserve"> juillet 2014</w:t>
      </w:r>
    </w:p>
    <w:p w:rsidR="00E02F89" w:rsidRDefault="00E02F89" w:rsidP="00A44FBF">
      <w:pPr>
        <w:rPr>
          <w:sz w:val="22"/>
          <w:szCs w:val="22"/>
        </w:rPr>
      </w:pPr>
    </w:p>
    <w:p w:rsidR="00E02F89" w:rsidRDefault="00E02F89" w:rsidP="00A44FBF">
      <w:pPr>
        <w:rPr>
          <w:sz w:val="22"/>
          <w:szCs w:val="22"/>
        </w:rPr>
      </w:pPr>
    </w:p>
    <w:p w:rsidR="00710B08" w:rsidRDefault="00710B08" w:rsidP="00A44FBF">
      <w:pPr>
        <w:rPr>
          <w:sz w:val="22"/>
          <w:szCs w:val="22"/>
        </w:rPr>
      </w:pPr>
    </w:p>
    <w:p w:rsidR="003E593B" w:rsidRDefault="003E593B" w:rsidP="001F50E7">
      <w:pPr>
        <w:ind w:left="0" w:firstLine="0"/>
        <w:rPr>
          <w:sz w:val="22"/>
          <w:szCs w:val="22"/>
        </w:rPr>
      </w:pPr>
    </w:p>
    <w:p w:rsidR="001F50E7" w:rsidRDefault="008A305F" w:rsidP="001F50E7">
      <w:pPr>
        <w:ind w:left="0" w:firstLine="0"/>
        <w:rPr>
          <w:sz w:val="22"/>
          <w:szCs w:val="22"/>
        </w:rPr>
      </w:pPr>
      <w:r>
        <w:rPr>
          <w:sz w:val="22"/>
          <w:szCs w:val="22"/>
        </w:rPr>
        <w:t>Le CNCPH a étudié le projet d’o</w:t>
      </w:r>
      <w:r w:rsidR="00BD0E77">
        <w:rPr>
          <w:sz w:val="22"/>
          <w:szCs w:val="22"/>
        </w:rPr>
        <w:t>rdonnance relatif</w:t>
      </w:r>
      <w:r w:rsidR="001F50E7">
        <w:rPr>
          <w:sz w:val="22"/>
          <w:szCs w:val="22"/>
        </w:rPr>
        <w:t xml:space="preserve"> à l’accessibilité, ainsi que </w:t>
      </w:r>
      <w:r w:rsidR="001F50E7" w:rsidRPr="008A305F">
        <w:rPr>
          <w:sz w:val="22"/>
          <w:szCs w:val="22"/>
        </w:rPr>
        <w:t>9</w:t>
      </w:r>
      <w:r w:rsidR="001F50E7">
        <w:rPr>
          <w:sz w:val="22"/>
          <w:szCs w:val="22"/>
        </w:rPr>
        <w:t xml:space="preserve"> projets de textes réglementaires afférents.</w:t>
      </w:r>
    </w:p>
    <w:p w:rsidR="001F50E7" w:rsidRDefault="001F50E7" w:rsidP="001F50E7">
      <w:pPr>
        <w:ind w:left="0" w:firstLine="0"/>
        <w:rPr>
          <w:sz w:val="22"/>
          <w:szCs w:val="22"/>
        </w:rPr>
      </w:pPr>
    </w:p>
    <w:p w:rsidR="001F50E7" w:rsidRDefault="00B54D8A" w:rsidP="001F50E7">
      <w:pPr>
        <w:ind w:left="0" w:firstLine="0"/>
        <w:rPr>
          <w:sz w:val="22"/>
          <w:szCs w:val="22"/>
        </w:rPr>
      </w:pPr>
      <w:r>
        <w:rPr>
          <w:sz w:val="22"/>
          <w:szCs w:val="22"/>
        </w:rPr>
        <w:t>Sur le fond, le CNCPH rappelle qu’il a étudié ces projets de textes dans la suite de la « prise d’acte » qu’il avait effectuée à l’occasion du projet de loi d’habilitation lors de son avis du 11 mars 2014</w:t>
      </w:r>
      <w:r w:rsidR="00B72CBE">
        <w:rPr>
          <w:sz w:val="22"/>
          <w:szCs w:val="22"/>
        </w:rPr>
        <w:t>, ainsi que des vives préoccupations formulées dans la motion datée du même jour</w:t>
      </w:r>
      <w:r>
        <w:rPr>
          <w:sz w:val="22"/>
          <w:szCs w:val="22"/>
        </w:rPr>
        <w:t>.</w:t>
      </w:r>
    </w:p>
    <w:p w:rsidR="00B54D8A" w:rsidRDefault="00622150" w:rsidP="001F50E7">
      <w:pPr>
        <w:ind w:left="0" w:firstLine="0"/>
        <w:rPr>
          <w:sz w:val="22"/>
          <w:szCs w:val="22"/>
        </w:rPr>
      </w:pPr>
      <w:r>
        <w:rPr>
          <w:sz w:val="22"/>
          <w:szCs w:val="22"/>
        </w:rPr>
        <w:t>N’ayant</w:t>
      </w:r>
      <w:r w:rsidR="00B72CBE">
        <w:rPr>
          <w:sz w:val="22"/>
          <w:szCs w:val="22"/>
        </w:rPr>
        <w:t xml:space="preserve"> pas</w:t>
      </w:r>
      <w:r>
        <w:rPr>
          <w:sz w:val="22"/>
          <w:szCs w:val="22"/>
        </w:rPr>
        <w:t xml:space="preserve"> d’opposition de principe au dispositif des ADAP, il convient d’analyser ces projets à l’aune de la concrétisatio</w:t>
      </w:r>
      <w:r w:rsidR="000C735A">
        <w:rPr>
          <w:sz w:val="22"/>
          <w:szCs w:val="22"/>
        </w:rPr>
        <w:t>n et de l’effectivité qui en sont</w:t>
      </w:r>
      <w:r>
        <w:rPr>
          <w:sz w:val="22"/>
          <w:szCs w:val="22"/>
        </w:rPr>
        <w:t xml:space="preserve"> attendu</w:t>
      </w:r>
      <w:r w:rsidR="000C735A">
        <w:rPr>
          <w:sz w:val="22"/>
          <w:szCs w:val="22"/>
        </w:rPr>
        <w:t>s</w:t>
      </w:r>
      <w:r>
        <w:rPr>
          <w:sz w:val="22"/>
          <w:szCs w:val="22"/>
        </w:rPr>
        <w:t>, afin de préserver l’objectif initial d’ « accès à tout pour tous » qui prévaut dans la loi n°2005-102 du 11 février 2005.</w:t>
      </w:r>
    </w:p>
    <w:p w:rsidR="00622150" w:rsidRDefault="00622150" w:rsidP="001F50E7">
      <w:pPr>
        <w:ind w:left="0" w:firstLine="0"/>
        <w:rPr>
          <w:sz w:val="22"/>
          <w:szCs w:val="22"/>
        </w:rPr>
      </w:pPr>
    </w:p>
    <w:p w:rsidR="00622150" w:rsidRDefault="00622150" w:rsidP="001F50E7">
      <w:pPr>
        <w:ind w:left="0" w:firstLine="0"/>
        <w:rPr>
          <w:sz w:val="22"/>
          <w:szCs w:val="22"/>
        </w:rPr>
      </w:pPr>
      <w:r>
        <w:rPr>
          <w:sz w:val="22"/>
          <w:szCs w:val="22"/>
        </w:rPr>
        <w:t>Sur le mode de consultation du CNCPH, il s’agit de signaler les mauvaises conditions d’étude en raison d’envoi tardif des projets de texte eu égard à la date prévue de la présente séance.</w:t>
      </w:r>
    </w:p>
    <w:p w:rsidR="00622150" w:rsidRDefault="00622150" w:rsidP="001F50E7">
      <w:pPr>
        <w:ind w:left="0" w:firstLine="0"/>
        <w:rPr>
          <w:sz w:val="22"/>
          <w:szCs w:val="22"/>
        </w:rPr>
      </w:pPr>
    </w:p>
    <w:p w:rsidR="001F50E7" w:rsidRDefault="00622150" w:rsidP="001F50E7">
      <w:pPr>
        <w:ind w:left="0" w:firstLine="0"/>
        <w:rPr>
          <w:sz w:val="22"/>
          <w:szCs w:val="22"/>
        </w:rPr>
      </w:pPr>
      <w:r>
        <w:rPr>
          <w:sz w:val="22"/>
          <w:szCs w:val="22"/>
        </w:rPr>
        <w:t>Le présent avis traitera en premier lieu du projet d’Ordonnance (A), avant d’aborder les projets de textes réglementaires afférents (B).</w:t>
      </w:r>
    </w:p>
    <w:p w:rsidR="00044055" w:rsidRDefault="00044055" w:rsidP="00A44FBF">
      <w:pPr>
        <w:rPr>
          <w:sz w:val="22"/>
          <w:szCs w:val="22"/>
        </w:rPr>
      </w:pPr>
    </w:p>
    <w:p w:rsidR="003E593B" w:rsidRDefault="003E593B" w:rsidP="00A44FBF">
      <w:pPr>
        <w:rPr>
          <w:sz w:val="22"/>
          <w:szCs w:val="22"/>
        </w:rPr>
      </w:pPr>
      <w:r>
        <w:rPr>
          <w:sz w:val="22"/>
          <w:szCs w:val="22"/>
        </w:rPr>
        <w:t>.</w:t>
      </w:r>
    </w:p>
    <w:p w:rsidR="00A44FBF" w:rsidRDefault="00A44FBF" w:rsidP="00A44FBF">
      <w:pPr>
        <w:pStyle w:val="Paragraphedeliste"/>
        <w:ind w:left="1080"/>
        <w:rPr>
          <w:b/>
          <w:sz w:val="22"/>
          <w:szCs w:val="22"/>
          <w:u w:val="single"/>
        </w:rPr>
      </w:pPr>
    </w:p>
    <w:p w:rsidR="00044055" w:rsidRDefault="00A44FBF" w:rsidP="00044055">
      <w:pPr>
        <w:pStyle w:val="Paragraphedeliste"/>
        <w:numPr>
          <w:ilvl w:val="0"/>
          <w:numId w:val="7"/>
        </w:numPr>
        <w:rPr>
          <w:b/>
          <w:sz w:val="22"/>
          <w:szCs w:val="22"/>
          <w:u w:val="single"/>
        </w:rPr>
      </w:pPr>
      <w:r w:rsidRPr="00B0478C">
        <w:rPr>
          <w:b/>
          <w:sz w:val="22"/>
          <w:szCs w:val="22"/>
          <w:u w:val="single"/>
        </w:rPr>
        <w:t>Un projet d’Ord</w:t>
      </w:r>
      <w:r w:rsidR="00244E79" w:rsidRPr="00B0478C">
        <w:rPr>
          <w:b/>
          <w:sz w:val="22"/>
          <w:szCs w:val="22"/>
          <w:u w:val="single"/>
        </w:rPr>
        <w:t>onnance inacceptable en l’état</w:t>
      </w:r>
    </w:p>
    <w:p w:rsidR="00044055" w:rsidRPr="00044055" w:rsidRDefault="00044055" w:rsidP="00044055">
      <w:pPr>
        <w:rPr>
          <w:b/>
          <w:sz w:val="22"/>
          <w:szCs w:val="22"/>
          <w:u w:val="single"/>
        </w:rPr>
      </w:pPr>
    </w:p>
    <w:p w:rsidR="00EF4BD9" w:rsidRDefault="00EF4BD9" w:rsidP="00EF4BD9">
      <w:pPr>
        <w:ind w:left="0" w:firstLine="0"/>
        <w:rPr>
          <w:sz w:val="22"/>
          <w:szCs w:val="22"/>
        </w:rPr>
      </w:pPr>
    </w:p>
    <w:p w:rsidR="00A44FBF" w:rsidRDefault="009974EA" w:rsidP="00EF4BD9">
      <w:pPr>
        <w:ind w:left="0" w:firstLine="0"/>
        <w:rPr>
          <w:sz w:val="22"/>
          <w:szCs w:val="22"/>
        </w:rPr>
      </w:pPr>
      <w:r w:rsidRPr="00044055">
        <w:rPr>
          <w:sz w:val="22"/>
          <w:szCs w:val="22"/>
        </w:rPr>
        <w:t>S</w:t>
      </w:r>
      <w:r w:rsidR="00A44FBF" w:rsidRPr="00044055">
        <w:rPr>
          <w:sz w:val="22"/>
          <w:szCs w:val="22"/>
        </w:rPr>
        <w:t xml:space="preserve">uite aux 140 heures de réunions dites de « concertation » pendant l’automne et </w:t>
      </w:r>
      <w:r w:rsidR="004F4063">
        <w:rPr>
          <w:sz w:val="22"/>
          <w:szCs w:val="22"/>
        </w:rPr>
        <w:t>l’</w:t>
      </w:r>
      <w:r w:rsidR="00A44FBF" w:rsidRPr="00044055">
        <w:rPr>
          <w:sz w:val="22"/>
          <w:szCs w:val="22"/>
        </w:rPr>
        <w:t xml:space="preserve">hiver </w:t>
      </w:r>
      <w:r w:rsidR="00044055" w:rsidRPr="00044055">
        <w:rPr>
          <w:sz w:val="22"/>
          <w:szCs w:val="22"/>
        </w:rPr>
        <w:t>2013-</w:t>
      </w:r>
      <w:r w:rsidR="00A44FBF" w:rsidRPr="00044055">
        <w:rPr>
          <w:sz w:val="22"/>
          <w:szCs w:val="22"/>
        </w:rPr>
        <w:t>2014</w:t>
      </w:r>
      <w:r w:rsidR="004F4063">
        <w:rPr>
          <w:sz w:val="22"/>
          <w:szCs w:val="22"/>
        </w:rPr>
        <w:t>,</w:t>
      </w:r>
      <w:r w:rsidR="00A44FBF" w:rsidRPr="00044055">
        <w:rPr>
          <w:sz w:val="22"/>
          <w:szCs w:val="22"/>
        </w:rPr>
        <w:t xml:space="preserve"> au cours desquelles les associations ont fait part de leurs nombreux désaccords</w:t>
      </w:r>
      <w:r w:rsidR="008A305F">
        <w:rPr>
          <w:sz w:val="22"/>
          <w:szCs w:val="22"/>
        </w:rPr>
        <w:t>, nous considérons ce projet d’o</w:t>
      </w:r>
      <w:r w:rsidR="00A44FBF" w:rsidRPr="00044055">
        <w:rPr>
          <w:sz w:val="22"/>
          <w:szCs w:val="22"/>
        </w:rPr>
        <w:t>rdonnance comme manifestement inacceptable en l’espèce.</w:t>
      </w:r>
    </w:p>
    <w:p w:rsidR="00EF4BD9" w:rsidRPr="00044055" w:rsidRDefault="00EF4BD9" w:rsidP="00EF4BD9">
      <w:pPr>
        <w:ind w:left="0" w:firstLine="0"/>
        <w:rPr>
          <w:b/>
          <w:sz w:val="22"/>
          <w:szCs w:val="22"/>
          <w:u w:val="single"/>
        </w:rPr>
      </w:pPr>
    </w:p>
    <w:p w:rsidR="009974EA" w:rsidRDefault="00EF4BD9" w:rsidP="00A44FBF">
      <w:pPr>
        <w:autoSpaceDE w:val="0"/>
        <w:autoSpaceDN w:val="0"/>
        <w:adjustRightInd w:val="0"/>
        <w:spacing w:after="120"/>
        <w:ind w:left="66"/>
        <w:rPr>
          <w:sz w:val="22"/>
          <w:szCs w:val="22"/>
        </w:rPr>
      </w:pPr>
      <w:r>
        <w:rPr>
          <w:sz w:val="22"/>
          <w:szCs w:val="22"/>
        </w:rPr>
        <w:t xml:space="preserve"> </w:t>
      </w:r>
      <w:r>
        <w:rPr>
          <w:sz w:val="22"/>
          <w:szCs w:val="22"/>
        </w:rPr>
        <w:tab/>
      </w:r>
      <w:r w:rsidR="009974EA">
        <w:rPr>
          <w:sz w:val="22"/>
          <w:szCs w:val="22"/>
        </w:rPr>
        <w:t xml:space="preserve">Après 2 lois inappliquées en l’espace de 40 ans, et malgré les mesures de sanctions pénales prévus par la loi du 11 février 2005, le CNCPH constate que les dispositifs précédents ont malheureusement échoué, et qu’il s’agit d’en tirer </w:t>
      </w:r>
      <w:r w:rsidR="00F07B55">
        <w:rPr>
          <w:sz w:val="22"/>
          <w:szCs w:val="22"/>
        </w:rPr>
        <w:t xml:space="preserve">maintenant </w:t>
      </w:r>
      <w:r w:rsidR="009974EA">
        <w:rPr>
          <w:sz w:val="22"/>
          <w:szCs w:val="22"/>
        </w:rPr>
        <w:t>toutes les conséquences via des dispositions beaucoup plus incitatives en matière d’aides fiscales ou budgétaires, et nettement plus coercitives en matière de sanctions.</w:t>
      </w:r>
    </w:p>
    <w:p w:rsidR="009974EA" w:rsidRDefault="008A305F" w:rsidP="00EF4BD9">
      <w:pPr>
        <w:autoSpaceDE w:val="0"/>
        <w:autoSpaceDN w:val="0"/>
        <w:adjustRightInd w:val="0"/>
        <w:spacing w:after="120"/>
        <w:ind w:left="66" w:firstLine="0"/>
        <w:rPr>
          <w:sz w:val="22"/>
          <w:szCs w:val="22"/>
        </w:rPr>
      </w:pPr>
      <w:r>
        <w:rPr>
          <w:sz w:val="22"/>
          <w:szCs w:val="22"/>
        </w:rPr>
        <w:lastRenderedPageBreak/>
        <w:t>Or, l’o</w:t>
      </w:r>
      <w:r w:rsidR="009974EA">
        <w:rPr>
          <w:sz w:val="22"/>
          <w:szCs w:val="22"/>
        </w:rPr>
        <w:t>rdonnance pose le paradigme d’un</w:t>
      </w:r>
      <w:r w:rsidR="00204BF8">
        <w:rPr>
          <w:sz w:val="22"/>
          <w:szCs w:val="22"/>
        </w:rPr>
        <w:t xml:space="preserve"> dispositif uniquement volontariste</w:t>
      </w:r>
      <w:r w:rsidR="009974EA">
        <w:rPr>
          <w:sz w:val="22"/>
          <w:szCs w:val="22"/>
        </w:rPr>
        <w:t xml:space="preserve"> </w:t>
      </w:r>
      <w:r w:rsidR="009974EA">
        <w:rPr>
          <w:i/>
          <w:sz w:val="22"/>
          <w:szCs w:val="22"/>
        </w:rPr>
        <w:t xml:space="preserve">via </w:t>
      </w:r>
      <w:r w:rsidR="009974EA">
        <w:rPr>
          <w:sz w:val="22"/>
          <w:szCs w:val="22"/>
        </w:rPr>
        <w:t>une trop grand</w:t>
      </w:r>
      <w:r w:rsidR="00CA5E18">
        <w:rPr>
          <w:sz w:val="22"/>
          <w:szCs w:val="22"/>
        </w:rPr>
        <w:t>e</w:t>
      </w:r>
      <w:r w:rsidR="00204BF8">
        <w:rPr>
          <w:sz w:val="22"/>
          <w:szCs w:val="22"/>
        </w:rPr>
        <w:t xml:space="preserve"> souplesse générant des postures systématiques à visée dérogatoire</w:t>
      </w:r>
      <w:r w:rsidR="00EF4BD9">
        <w:rPr>
          <w:sz w:val="22"/>
          <w:szCs w:val="22"/>
        </w:rPr>
        <w:t>.</w:t>
      </w:r>
    </w:p>
    <w:p w:rsidR="00605BC4" w:rsidRDefault="00605BC4" w:rsidP="00EF4BD9">
      <w:pPr>
        <w:autoSpaceDE w:val="0"/>
        <w:autoSpaceDN w:val="0"/>
        <w:adjustRightInd w:val="0"/>
        <w:spacing w:after="120"/>
        <w:ind w:left="66" w:firstLine="0"/>
        <w:rPr>
          <w:sz w:val="22"/>
          <w:szCs w:val="22"/>
        </w:rPr>
      </w:pPr>
    </w:p>
    <w:p w:rsidR="009974EA" w:rsidRPr="009974EA" w:rsidRDefault="009974EA" w:rsidP="00EF4BD9">
      <w:pPr>
        <w:autoSpaceDE w:val="0"/>
        <w:autoSpaceDN w:val="0"/>
        <w:adjustRightInd w:val="0"/>
        <w:spacing w:after="120"/>
        <w:ind w:left="66" w:firstLine="0"/>
        <w:rPr>
          <w:sz w:val="22"/>
          <w:szCs w:val="22"/>
          <w:u w:val="single"/>
        </w:rPr>
      </w:pPr>
      <w:r>
        <w:rPr>
          <w:sz w:val="22"/>
          <w:szCs w:val="22"/>
        </w:rPr>
        <w:t>Pour le CNCPH,</w:t>
      </w:r>
      <w:r w:rsidR="008A305F">
        <w:rPr>
          <w:sz w:val="22"/>
          <w:szCs w:val="22"/>
        </w:rPr>
        <w:t xml:space="preserve"> le présent projet d’o</w:t>
      </w:r>
      <w:r>
        <w:rPr>
          <w:sz w:val="22"/>
          <w:szCs w:val="22"/>
        </w:rPr>
        <w:t>rdonnance commet une erreur d’analyse en méconnaissant l’historique de 2 lois inappliquées.</w:t>
      </w:r>
    </w:p>
    <w:p w:rsidR="00710B08" w:rsidRDefault="00710B08" w:rsidP="00EF4BD9">
      <w:pPr>
        <w:autoSpaceDE w:val="0"/>
        <w:autoSpaceDN w:val="0"/>
        <w:adjustRightInd w:val="0"/>
        <w:spacing w:after="120"/>
        <w:ind w:left="66" w:firstLine="0"/>
        <w:rPr>
          <w:sz w:val="22"/>
          <w:szCs w:val="22"/>
        </w:rPr>
      </w:pPr>
    </w:p>
    <w:p w:rsidR="00A44FBF" w:rsidRDefault="00A44FBF" w:rsidP="00EF4BD9">
      <w:pPr>
        <w:autoSpaceDE w:val="0"/>
        <w:autoSpaceDN w:val="0"/>
        <w:adjustRightInd w:val="0"/>
        <w:spacing w:after="120"/>
        <w:ind w:left="66" w:firstLine="0"/>
        <w:rPr>
          <w:sz w:val="22"/>
          <w:szCs w:val="22"/>
        </w:rPr>
      </w:pPr>
      <w:r>
        <w:rPr>
          <w:sz w:val="22"/>
          <w:szCs w:val="22"/>
        </w:rPr>
        <w:t xml:space="preserve">En voici, entre autres, les raisons principales, car </w:t>
      </w:r>
      <w:r w:rsidR="003E593B">
        <w:rPr>
          <w:sz w:val="22"/>
          <w:szCs w:val="22"/>
        </w:rPr>
        <w:t>le CNCPH</w:t>
      </w:r>
      <w:r>
        <w:t xml:space="preserve"> </w:t>
      </w:r>
      <w:r>
        <w:rPr>
          <w:sz w:val="22"/>
          <w:szCs w:val="22"/>
        </w:rPr>
        <w:t>dénonce :</w:t>
      </w:r>
    </w:p>
    <w:p w:rsidR="00297AE7" w:rsidRDefault="00297AE7" w:rsidP="00A44FBF">
      <w:pPr>
        <w:autoSpaceDE w:val="0"/>
        <w:autoSpaceDN w:val="0"/>
        <w:adjustRightInd w:val="0"/>
        <w:spacing w:after="120"/>
        <w:ind w:left="66"/>
        <w:rPr>
          <w:sz w:val="22"/>
          <w:szCs w:val="22"/>
        </w:rPr>
      </w:pPr>
    </w:p>
    <w:p w:rsidR="00297AE7" w:rsidRPr="005745FE" w:rsidRDefault="00297AE7" w:rsidP="00A44FBF">
      <w:pPr>
        <w:autoSpaceDE w:val="0"/>
        <w:autoSpaceDN w:val="0"/>
        <w:adjustRightInd w:val="0"/>
        <w:spacing w:after="120"/>
        <w:ind w:left="66"/>
        <w:rPr>
          <w:sz w:val="22"/>
          <w:szCs w:val="22"/>
          <w:u w:val="single"/>
        </w:rPr>
      </w:pPr>
      <w:r>
        <w:rPr>
          <w:sz w:val="22"/>
          <w:szCs w:val="22"/>
        </w:rPr>
        <w:tab/>
      </w:r>
      <w:r w:rsidRPr="005745FE">
        <w:rPr>
          <w:sz w:val="22"/>
          <w:szCs w:val="22"/>
          <w:u w:val="single"/>
        </w:rPr>
        <w:t>-1 – Des délais de procédure et de réalisation excessifs et à rallonge</w:t>
      </w:r>
    </w:p>
    <w:p w:rsidR="00297AE7" w:rsidRDefault="00297AE7" w:rsidP="00A44FBF">
      <w:pPr>
        <w:autoSpaceDE w:val="0"/>
        <w:autoSpaceDN w:val="0"/>
        <w:adjustRightInd w:val="0"/>
        <w:spacing w:after="120"/>
        <w:ind w:left="66"/>
        <w:rPr>
          <w:sz w:val="22"/>
          <w:szCs w:val="22"/>
        </w:rPr>
      </w:pPr>
    </w:p>
    <w:p w:rsidR="008258C5" w:rsidRDefault="00297AE7" w:rsidP="00DE73EE">
      <w:pPr>
        <w:pStyle w:val="Paragraphedeliste"/>
        <w:numPr>
          <w:ilvl w:val="0"/>
          <w:numId w:val="4"/>
        </w:numPr>
        <w:autoSpaceDE w:val="0"/>
        <w:autoSpaceDN w:val="0"/>
        <w:adjustRightInd w:val="0"/>
        <w:spacing w:after="120"/>
        <w:rPr>
          <w:sz w:val="22"/>
          <w:szCs w:val="22"/>
        </w:rPr>
      </w:pPr>
      <w:r w:rsidRPr="008258C5">
        <w:rPr>
          <w:b/>
          <w:sz w:val="22"/>
          <w:szCs w:val="22"/>
        </w:rPr>
        <w:t xml:space="preserve">La prolongation </w:t>
      </w:r>
      <w:r w:rsidRPr="008258C5">
        <w:rPr>
          <w:b/>
          <w:i/>
          <w:sz w:val="22"/>
          <w:szCs w:val="22"/>
        </w:rPr>
        <w:t>sine die</w:t>
      </w:r>
      <w:r w:rsidRPr="008258C5">
        <w:rPr>
          <w:b/>
          <w:sz w:val="22"/>
          <w:szCs w:val="22"/>
        </w:rPr>
        <w:t xml:space="preserve"> du dépôt des ADAP</w:t>
      </w:r>
      <w:r w:rsidR="00FE701C">
        <w:rPr>
          <w:b/>
          <w:sz w:val="22"/>
          <w:szCs w:val="22"/>
        </w:rPr>
        <w:t xml:space="preserve"> </w:t>
      </w:r>
    </w:p>
    <w:p w:rsidR="00DE73EE" w:rsidRDefault="00DE73EE" w:rsidP="000C735A">
      <w:pPr>
        <w:pStyle w:val="Paragraphedeliste"/>
        <w:autoSpaceDE w:val="0"/>
        <w:autoSpaceDN w:val="0"/>
        <w:adjustRightInd w:val="0"/>
        <w:ind w:left="1775" w:firstLine="0"/>
        <w:rPr>
          <w:sz w:val="22"/>
          <w:szCs w:val="22"/>
        </w:rPr>
      </w:pPr>
      <w:r w:rsidRPr="008258C5">
        <w:rPr>
          <w:sz w:val="22"/>
          <w:szCs w:val="22"/>
        </w:rPr>
        <w:t>Les dispositions actuelles du projet d’Ordonnance ne respecte</w:t>
      </w:r>
      <w:r w:rsidR="00C678BA">
        <w:rPr>
          <w:sz w:val="22"/>
          <w:szCs w:val="22"/>
        </w:rPr>
        <w:t>nt</w:t>
      </w:r>
      <w:r w:rsidRPr="008258C5">
        <w:rPr>
          <w:sz w:val="22"/>
          <w:szCs w:val="22"/>
        </w:rPr>
        <w:t xml:space="preserve"> pas l’esprit et la lettre de la loi d’habilitation avec cette possibilité de reporter </w:t>
      </w:r>
      <w:r w:rsidRPr="008258C5">
        <w:rPr>
          <w:i/>
          <w:sz w:val="22"/>
          <w:szCs w:val="22"/>
        </w:rPr>
        <w:t>sine die</w:t>
      </w:r>
      <w:r w:rsidRPr="008258C5">
        <w:rPr>
          <w:sz w:val="22"/>
          <w:szCs w:val="22"/>
        </w:rPr>
        <w:t xml:space="preserve"> un dépôt d’ADAP</w:t>
      </w:r>
      <w:r w:rsidR="00892E92">
        <w:rPr>
          <w:rStyle w:val="Appelnotedebasdep"/>
          <w:b/>
          <w:sz w:val="22"/>
          <w:szCs w:val="22"/>
        </w:rPr>
        <w:footnoteReference w:id="1"/>
      </w:r>
      <w:r w:rsidRPr="008258C5">
        <w:rPr>
          <w:sz w:val="22"/>
          <w:szCs w:val="22"/>
        </w:rPr>
        <w:t>.</w:t>
      </w:r>
    </w:p>
    <w:p w:rsidR="008A305F" w:rsidRDefault="008A305F" w:rsidP="000C735A">
      <w:pPr>
        <w:pStyle w:val="Paragraphedeliste"/>
        <w:autoSpaceDE w:val="0"/>
        <w:autoSpaceDN w:val="0"/>
        <w:adjustRightInd w:val="0"/>
        <w:ind w:left="1775" w:firstLine="0"/>
        <w:rPr>
          <w:sz w:val="22"/>
          <w:szCs w:val="22"/>
        </w:rPr>
      </w:pPr>
    </w:p>
    <w:p w:rsidR="000C735A" w:rsidRDefault="000C735A" w:rsidP="000C735A">
      <w:pPr>
        <w:pStyle w:val="Paragraphedeliste"/>
        <w:autoSpaceDE w:val="0"/>
        <w:autoSpaceDN w:val="0"/>
        <w:adjustRightInd w:val="0"/>
        <w:ind w:left="1775" w:firstLine="0"/>
        <w:rPr>
          <w:sz w:val="22"/>
          <w:szCs w:val="22"/>
        </w:rPr>
      </w:pPr>
      <w:r>
        <w:rPr>
          <w:sz w:val="22"/>
          <w:szCs w:val="22"/>
        </w:rPr>
        <w:t>Cependant, le CNCPH prend acte que le Secrétariat d’Etat aux personnes handicapées a annoncé lors de la présente séance, que la mention « </w:t>
      </w:r>
      <w:r>
        <w:rPr>
          <w:i/>
          <w:sz w:val="22"/>
          <w:szCs w:val="22"/>
        </w:rPr>
        <w:t>renouvelable si nécessaire</w:t>
      </w:r>
      <w:r>
        <w:rPr>
          <w:sz w:val="22"/>
          <w:szCs w:val="22"/>
        </w:rPr>
        <w:t xml:space="preserve"> » liée à la possibilité de suspendre un dépôt d’ADAP serait supprimée. </w:t>
      </w:r>
    </w:p>
    <w:p w:rsidR="000C735A" w:rsidRPr="000C735A" w:rsidRDefault="000C735A" w:rsidP="000C735A">
      <w:pPr>
        <w:pStyle w:val="Paragraphedeliste"/>
        <w:autoSpaceDE w:val="0"/>
        <w:autoSpaceDN w:val="0"/>
        <w:adjustRightInd w:val="0"/>
        <w:ind w:left="1775" w:firstLine="0"/>
        <w:rPr>
          <w:sz w:val="22"/>
          <w:szCs w:val="22"/>
        </w:rPr>
      </w:pPr>
      <w:r>
        <w:rPr>
          <w:sz w:val="22"/>
          <w:szCs w:val="22"/>
        </w:rPr>
        <w:t xml:space="preserve">Ainsi, même s’il ne serait plus possible de suspendre </w:t>
      </w:r>
      <w:r>
        <w:rPr>
          <w:i/>
          <w:sz w:val="22"/>
          <w:szCs w:val="22"/>
        </w:rPr>
        <w:t>sine die</w:t>
      </w:r>
      <w:r>
        <w:rPr>
          <w:sz w:val="22"/>
          <w:szCs w:val="22"/>
        </w:rPr>
        <w:t xml:space="preserve"> un dépôt d’ADAP, il n’en demeure pas moins que la possibilité de reporter un tel dépôt existe bel et bien.</w:t>
      </w:r>
    </w:p>
    <w:p w:rsidR="00297AE7" w:rsidRDefault="00297AE7" w:rsidP="00A44FBF">
      <w:pPr>
        <w:autoSpaceDE w:val="0"/>
        <w:autoSpaceDN w:val="0"/>
        <w:adjustRightInd w:val="0"/>
        <w:spacing w:after="120"/>
        <w:ind w:left="66"/>
        <w:rPr>
          <w:sz w:val="22"/>
          <w:szCs w:val="22"/>
        </w:rPr>
      </w:pPr>
    </w:p>
    <w:p w:rsidR="00A44FBF" w:rsidRDefault="005745FE" w:rsidP="005745FE">
      <w:pPr>
        <w:pStyle w:val="Paragraphedeliste"/>
        <w:numPr>
          <w:ilvl w:val="0"/>
          <w:numId w:val="1"/>
        </w:numPr>
        <w:autoSpaceDE w:val="0"/>
        <w:autoSpaceDN w:val="0"/>
        <w:adjustRightInd w:val="0"/>
        <w:spacing w:after="120"/>
        <w:rPr>
          <w:sz w:val="22"/>
          <w:szCs w:val="22"/>
        </w:rPr>
      </w:pPr>
      <w:r w:rsidRPr="005745FE">
        <w:rPr>
          <w:b/>
          <w:sz w:val="22"/>
          <w:szCs w:val="22"/>
        </w:rPr>
        <w:t xml:space="preserve"> </w:t>
      </w:r>
      <w:r w:rsidR="00A44FBF" w:rsidRPr="005745FE">
        <w:rPr>
          <w:b/>
          <w:sz w:val="22"/>
          <w:szCs w:val="22"/>
        </w:rPr>
        <w:t>Les délais envisagés</w:t>
      </w:r>
      <w:r w:rsidR="00297AE7" w:rsidRPr="005745FE">
        <w:rPr>
          <w:b/>
          <w:sz w:val="22"/>
          <w:szCs w:val="22"/>
        </w:rPr>
        <w:t xml:space="preserve"> jusqu’à 10 années supplémentaires</w:t>
      </w:r>
      <w:r w:rsidR="00A44FBF" w:rsidRPr="005745FE">
        <w:rPr>
          <w:b/>
          <w:sz w:val="22"/>
          <w:szCs w:val="22"/>
        </w:rPr>
        <w:t xml:space="preserve"> pour concrétiser une continuité de la chaîne de déplacement</w:t>
      </w:r>
      <w:r w:rsidR="00A44FBF" w:rsidRPr="005745FE">
        <w:rPr>
          <w:sz w:val="22"/>
          <w:szCs w:val="22"/>
        </w:rPr>
        <w:t xml:space="preserve"> entre le cadre bâti, les transports publics, la voirie et les espaces publics – objectif initial de la loi du 11 février 2005 – </w:t>
      </w:r>
      <w:r w:rsidR="00A44FBF" w:rsidRPr="005745FE">
        <w:rPr>
          <w:b/>
          <w:sz w:val="22"/>
          <w:szCs w:val="22"/>
        </w:rPr>
        <w:t>sont inenvisageables après 40 ans d’attente pour une réelle liberté d’aller et de venir</w:t>
      </w:r>
      <w:r w:rsidR="00A44FBF" w:rsidRPr="005745FE">
        <w:rPr>
          <w:sz w:val="22"/>
          <w:szCs w:val="22"/>
        </w:rPr>
        <w:t xml:space="preserve">, droit constitutionnel fondamental. </w:t>
      </w:r>
    </w:p>
    <w:p w:rsidR="00D952F9" w:rsidRPr="0041063E" w:rsidRDefault="00605BC4" w:rsidP="00D952F9">
      <w:pPr>
        <w:pStyle w:val="Paragraphedeliste"/>
        <w:autoSpaceDE w:val="0"/>
        <w:autoSpaceDN w:val="0"/>
        <w:adjustRightInd w:val="0"/>
        <w:spacing w:after="120"/>
        <w:ind w:left="1776"/>
        <w:rPr>
          <w:sz w:val="22"/>
          <w:szCs w:val="22"/>
        </w:rPr>
      </w:pPr>
      <w:r>
        <w:rPr>
          <w:sz w:val="22"/>
          <w:szCs w:val="22"/>
        </w:rPr>
        <w:t xml:space="preserve">      </w:t>
      </w:r>
      <w:r w:rsidR="00D952F9" w:rsidRPr="0041063E">
        <w:rPr>
          <w:sz w:val="22"/>
          <w:szCs w:val="22"/>
        </w:rPr>
        <w:t>Le CNCPH s’étonne</w:t>
      </w:r>
      <w:r w:rsidR="004F4063">
        <w:rPr>
          <w:sz w:val="22"/>
          <w:szCs w:val="22"/>
        </w:rPr>
        <w:t>,</w:t>
      </w:r>
      <w:r w:rsidR="00D952F9" w:rsidRPr="0041063E">
        <w:rPr>
          <w:sz w:val="22"/>
          <w:szCs w:val="22"/>
        </w:rPr>
        <w:t xml:space="preserve"> par ailleurs</w:t>
      </w:r>
      <w:r w:rsidR="004F4063">
        <w:rPr>
          <w:sz w:val="22"/>
          <w:szCs w:val="22"/>
        </w:rPr>
        <w:t>,</w:t>
      </w:r>
      <w:r w:rsidR="00D952F9" w:rsidRPr="0041063E">
        <w:rPr>
          <w:sz w:val="22"/>
          <w:szCs w:val="22"/>
        </w:rPr>
        <w:t xml:space="preserve"> que les délais envisagés aillent au-delà des propositions de Madame la sénatrice Claire-Lise Campion dans son rapport « Réussir 2015 », à savoir des délais de </w:t>
      </w:r>
      <w:r w:rsidR="00C957CB">
        <w:rPr>
          <w:sz w:val="22"/>
          <w:szCs w:val="22"/>
        </w:rPr>
        <w:t>« </w:t>
      </w:r>
      <w:r w:rsidR="00D952F9" w:rsidRPr="00C957CB">
        <w:rPr>
          <w:i/>
          <w:sz w:val="22"/>
          <w:szCs w:val="22"/>
        </w:rPr>
        <w:t>3 à 4 ans pouvant être reconduits 2 à 3 ans</w:t>
      </w:r>
      <w:r w:rsidR="00C957CB">
        <w:rPr>
          <w:sz w:val="22"/>
          <w:szCs w:val="22"/>
        </w:rPr>
        <w:t> »</w:t>
      </w:r>
      <w:r w:rsidR="00D952F9" w:rsidRPr="0041063E">
        <w:rPr>
          <w:sz w:val="22"/>
          <w:szCs w:val="22"/>
        </w:rPr>
        <w:t>.</w:t>
      </w:r>
    </w:p>
    <w:p w:rsidR="00A44FBF" w:rsidRDefault="00A44FBF" w:rsidP="00A44FBF">
      <w:pPr>
        <w:autoSpaceDE w:val="0"/>
        <w:autoSpaceDN w:val="0"/>
        <w:adjustRightInd w:val="0"/>
        <w:spacing w:after="120"/>
        <w:ind w:left="936"/>
        <w:rPr>
          <w:sz w:val="22"/>
          <w:szCs w:val="22"/>
        </w:rPr>
      </w:pPr>
    </w:p>
    <w:p w:rsidR="00392809" w:rsidRPr="005745FE" w:rsidRDefault="00392809" w:rsidP="005745FE">
      <w:pPr>
        <w:pStyle w:val="Paragraphedeliste"/>
        <w:numPr>
          <w:ilvl w:val="0"/>
          <w:numId w:val="1"/>
        </w:numPr>
        <w:autoSpaceDE w:val="0"/>
        <w:autoSpaceDN w:val="0"/>
        <w:adjustRightInd w:val="0"/>
        <w:spacing w:after="120"/>
        <w:rPr>
          <w:sz w:val="22"/>
          <w:szCs w:val="22"/>
        </w:rPr>
      </w:pPr>
      <w:r w:rsidRPr="005745FE">
        <w:rPr>
          <w:b/>
          <w:sz w:val="22"/>
          <w:szCs w:val="22"/>
        </w:rPr>
        <w:t>En dépit des promesses gouvernementales initiales concernant les ERP de 5</w:t>
      </w:r>
      <w:r w:rsidRPr="005745FE">
        <w:rPr>
          <w:b/>
          <w:sz w:val="22"/>
          <w:szCs w:val="22"/>
          <w:vertAlign w:val="superscript"/>
        </w:rPr>
        <w:t>ème</w:t>
      </w:r>
      <w:r w:rsidRPr="005745FE">
        <w:rPr>
          <w:b/>
          <w:sz w:val="22"/>
          <w:szCs w:val="22"/>
        </w:rPr>
        <w:t xml:space="preserve"> catégorie</w:t>
      </w:r>
      <w:r w:rsidRPr="005745FE">
        <w:rPr>
          <w:sz w:val="22"/>
          <w:szCs w:val="22"/>
        </w:rPr>
        <w:t xml:space="preserve"> (commerces et services publics de proximité) </w:t>
      </w:r>
      <w:r w:rsidRPr="005745FE">
        <w:rPr>
          <w:b/>
          <w:sz w:val="22"/>
          <w:szCs w:val="22"/>
        </w:rPr>
        <w:t>pour qu’ils soient accessibles dans un délai de 3 ans, il s’agit désormais de permettre à ces établissements d’avoir un délai allant jusqu’à 9 ans, voire plus</w:t>
      </w:r>
      <w:r w:rsidRPr="005745FE">
        <w:rPr>
          <w:sz w:val="22"/>
          <w:szCs w:val="22"/>
        </w:rPr>
        <w:t xml:space="preserve"> (prolongation du délai de dépôt d’ADAP, suspension, et prorogation du délai de réalisation des ADAP, etc.).</w:t>
      </w:r>
    </w:p>
    <w:p w:rsidR="00392809" w:rsidRPr="000027C1" w:rsidRDefault="006D1411" w:rsidP="005745FE">
      <w:pPr>
        <w:autoSpaceDE w:val="0"/>
        <w:autoSpaceDN w:val="0"/>
        <w:adjustRightInd w:val="0"/>
        <w:spacing w:after="120"/>
        <w:ind w:left="1776"/>
        <w:rPr>
          <w:b/>
          <w:sz w:val="22"/>
          <w:szCs w:val="22"/>
          <w:u w:val="single"/>
        </w:rPr>
      </w:pPr>
      <w:r>
        <w:rPr>
          <w:b/>
          <w:sz w:val="22"/>
          <w:szCs w:val="22"/>
        </w:rPr>
        <w:t xml:space="preserve">      </w:t>
      </w:r>
      <w:r w:rsidR="00392809" w:rsidRPr="000027C1">
        <w:rPr>
          <w:b/>
          <w:sz w:val="22"/>
          <w:szCs w:val="22"/>
          <w:u w:val="single"/>
        </w:rPr>
        <w:t>Lié à la possibilité de reporter indéfiniment un dépôt d’ADAP, faudra-t-il attendre 2030, 2040, voire 2050 pour enfin avoir une simple boulangerie accessible ?</w:t>
      </w:r>
    </w:p>
    <w:p w:rsidR="00392809" w:rsidRDefault="00392809" w:rsidP="00A44FBF">
      <w:pPr>
        <w:autoSpaceDE w:val="0"/>
        <w:autoSpaceDN w:val="0"/>
        <w:adjustRightInd w:val="0"/>
        <w:spacing w:after="120"/>
        <w:ind w:left="936"/>
        <w:rPr>
          <w:sz w:val="22"/>
          <w:szCs w:val="22"/>
        </w:rPr>
      </w:pPr>
    </w:p>
    <w:p w:rsidR="00392809" w:rsidRPr="00392809" w:rsidRDefault="00392809" w:rsidP="00392809">
      <w:pPr>
        <w:pStyle w:val="Paragraphedeliste"/>
        <w:numPr>
          <w:ilvl w:val="0"/>
          <w:numId w:val="1"/>
        </w:numPr>
        <w:autoSpaceDE w:val="0"/>
        <w:autoSpaceDN w:val="0"/>
        <w:adjustRightInd w:val="0"/>
        <w:spacing w:after="120"/>
        <w:rPr>
          <w:sz w:val="22"/>
          <w:szCs w:val="22"/>
        </w:rPr>
      </w:pPr>
      <w:r>
        <w:rPr>
          <w:sz w:val="22"/>
          <w:szCs w:val="22"/>
        </w:rPr>
        <w:t>Des critères par trop souples pour solliciter des suspensions ou prorogations en cours d’ADAP (au-delà du cas de force majeure).</w:t>
      </w:r>
    </w:p>
    <w:p w:rsidR="00392809" w:rsidRDefault="00392809" w:rsidP="00A44FBF">
      <w:pPr>
        <w:autoSpaceDE w:val="0"/>
        <w:autoSpaceDN w:val="0"/>
        <w:adjustRightInd w:val="0"/>
        <w:spacing w:after="120"/>
        <w:ind w:left="936"/>
        <w:rPr>
          <w:sz w:val="22"/>
          <w:szCs w:val="22"/>
        </w:rPr>
      </w:pPr>
    </w:p>
    <w:p w:rsidR="000C735A" w:rsidRDefault="000C735A" w:rsidP="00A44FBF">
      <w:pPr>
        <w:autoSpaceDE w:val="0"/>
        <w:autoSpaceDN w:val="0"/>
        <w:adjustRightInd w:val="0"/>
        <w:spacing w:after="120"/>
        <w:ind w:left="936"/>
        <w:rPr>
          <w:sz w:val="22"/>
          <w:szCs w:val="22"/>
        </w:rPr>
      </w:pPr>
    </w:p>
    <w:p w:rsidR="00A44FBF" w:rsidRPr="00B0478C" w:rsidRDefault="00A44FBF" w:rsidP="00B0478C">
      <w:pPr>
        <w:autoSpaceDE w:val="0"/>
        <w:autoSpaceDN w:val="0"/>
        <w:adjustRightInd w:val="0"/>
        <w:spacing w:after="120"/>
        <w:ind w:left="708"/>
        <w:rPr>
          <w:sz w:val="22"/>
          <w:szCs w:val="22"/>
        </w:rPr>
      </w:pPr>
      <w:r w:rsidRPr="00B0478C">
        <w:rPr>
          <w:b/>
          <w:sz w:val="22"/>
          <w:szCs w:val="22"/>
          <w:u w:val="single"/>
        </w:rPr>
        <w:t xml:space="preserve">2-  La souplesse </w:t>
      </w:r>
      <w:r w:rsidR="004523AA" w:rsidRPr="00B0478C">
        <w:rPr>
          <w:b/>
          <w:sz w:val="22"/>
          <w:szCs w:val="22"/>
          <w:u w:val="single"/>
        </w:rPr>
        <w:t>de la procédure : « Portes ouvertes au seul bon vouloir des acteurs »</w:t>
      </w:r>
      <w:r w:rsidRPr="00B0478C">
        <w:rPr>
          <w:sz w:val="22"/>
          <w:szCs w:val="22"/>
        </w:rPr>
        <w:t> :</w:t>
      </w:r>
    </w:p>
    <w:p w:rsidR="00A44FBF" w:rsidRDefault="00A44FBF" w:rsidP="00A44FBF">
      <w:pPr>
        <w:pStyle w:val="Paragraphedeliste"/>
        <w:rPr>
          <w:sz w:val="22"/>
          <w:szCs w:val="22"/>
        </w:rPr>
      </w:pPr>
    </w:p>
    <w:p w:rsidR="00A44FBF" w:rsidRDefault="00A44FBF" w:rsidP="00B0478C">
      <w:pPr>
        <w:pStyle w:val="Paragraphedeliste"/>
        <w:numPr>
          <w:ilvl w:val="0"/>
          <w:numId w:val="1"/>
        </w:numPr>
        <w:autoSpaceDE w:val="0"/>
        <w:autoSpaceDN w:val="0"/>
        <w:adjustRightInd w:val="0"/>
        <w:spacing w:after="120"/>
      </w:pPr>
      <w:r w:rsidRPr="00B0478C">
        <w:rPr>
          <w:b/>
          <w:sz w:val="22"/>
          <w:szCs w:val="22"/>
        </w:rPr>
        <w:t>La suppression de la conformité de</w:t>
      </w:r>
      <w:r w:rsidRPr="00B0478C">
        <w:rPr>
          <w:b/>
        </w:rPr>
        <w:t xml:space="preserve"> </w:t>
      </w:r>
      <w:r w:rsidRPr="00B0478C">
        <w:rPr>
          <w:b/>
          <w:sz w:val="22"/>
          <w:szCs w:val="22"/>
        </w:rPr>
        <w:t>l’avis de la CCDSA</w:t>
      </w:r>
      <w:r w:rsidRPr="00B0478C">
        <w:rPr>
          <w:sz w:val="22"/>
          <w:szCs w:val="22"/>
        </w:rPr>
        <w:t xml:space="preserve"> (Commission Consultative Départementale de Sécurité et d’Accessibilité) – hormis pour les grands ERP</w:t>
      </w:r>
      <w:r>
        <w:t>-.</w:t>
      </w:r>
    </w:p>
    <w:p w:rsidR="00C80823" w:rsidRPr="00C80823" w:rsidRDefault="00710B08" w:rsidP="00B0478C">
      <w:pPr>
        <w:autoSpaceDE w:val="0"/>
        <w:autoSpaceDN w:val="0"/>
        <w:adjustRightInd w:val="0"/>
        <w:spacing w:after="120"/>
        <w:ind w:left="1716"/>
      </w:pPr>
      <w:r>
        <w:rPr>
          <w:sz w:val="22"/>
          <w:szCs w:val="22"/>
        </w:rPr>
        <w:t xml:space="preserve">      </w:t>
      </w:r>
      <w:r w:rsidR="00C80823">
        <w:rPr>
          <w:sz w:val="22"/>
          <w:szCs w:val="22"/>
        </w:rPr>
        <w:t>Or, il faut</w:t>
      </w:r>
      <w:r w:rsidR="00B65F73">
        <w:rPr>
          <w:sz w:val="22"/>
          <w:szCs w:val="22"/>
        </w:rPr>
        <w:t xml:space="preserve"> savoir</w:t>
      </w:r>
      <w:r w:rsidR="00C80823">
        <w:rPr>
          <w:sz w:val="22"/>
          <w:szCs w:val="22"/>
        </w:rPr>
        <w:t xml:space="preserve"> que les ERP de 5</w:t>
      </w:r>
      <w:r w:rsidR="00C80823" w:rsidRPr="00C80823">
        <w:rPr>
          <w:sz w:val="22"/>
          <w:szCs w:val="22"/>
          <w:vertAlign w:val="superscript"/>
        </w:rPr>
        <w:t>ème</w:t>
      </w:r>
      <w:r w:rsidR="00C80823">
        <w:rPr>
          <w:sz w:val="22"/>
          <w:szCs w:val="22"/>
        </w:rPr>
        <w:t xml:space="preserve"> </w:t>
      </w:r>
      <w:r w:rsidR="009C560D">
        <w:rPr>
          <w:sz w:val="22"/>
          <w:szCs w:val="22"/>
        </w:rPr>
        <w:t xml:space="preserve">catégorie </w:t>
      </w:r>
      <w:r w:rsidR="00C80823">
        <w:rPr>
          <w:sz w:val="22"/>
          <w:szCs w:val="22"/>
        </w:rPr>
        <w:t>concernent les commerces et</w:t>
      </w:r>
      <w:r w:rsidR="009C560D">
        <w:rPr>
          <w:sz w:val="22"/>
          <w:szCs w:val="22"/>
        </w:rPr>
        <w:t xml:space="preserve"> les </w:t>
      </w:r>
      <w:r w:rsidR="00C80823">
        <w:rPr>
          <w:sz w:val="22"/>
          <w:szCs w:val="22"/>
        </w:rPr>
        <w:t xml:space="preserve">services publics de proximité, et </w:t>
      </w:r>
      <w:r w:rsidR="009C560D">
        <w:rPr>
          <w:sz w:val="22"/>
          <w:szCs w:val="22"/>
        </w:rPr>
        <w:t>aussi</w:t>
      </w:r>
      <w:r w:rsidR="00C80823">
        <w:rPr>
          <w:sz w:val="22"/>
          <w:szCs w:val="22"/>
        </w:rPr>
        <w:t xml:space="preserve"> qu’</w:t>
      </w:r>
      <w:r w:rsidR="00920966">
        <w:rPr>
          <w:sz w:val="22"/>
          <w:szCs w:val="22"/>
        </w:rPr>
        <w:t>un</w:t>
      </w:r>
      <w:r w:rsidR="00C80823">
        <w:rPr>
          <w:sz w:val="22"/>
          <w:szCs w:val="22"/>
        </w:rPr>
        <w:t xml:space="preserve"> ERP de 3</w:t>
      </w:r>
      <w:r w:rsidR="00C80823" w:rsidRPr="00C80823">
        <w:rPr>
          <w:sz w:val="22"/>
          <w:szCs w:val="22"/>
          <w:vertAlign w:val="superscript"/>
        </w:rPr>
        <w:t>ème</w:t>
      </w:r>
      <w:r w:rsidR="00C80823">
        <w:rPr>
          <w:sz w:val="22"/>
          <w:szCs w:val="22"/>
        </w:rPr>
        <w:t xml:space="preserve"> catégorie peut accueillir jusqu’à 700 personnes.</w:t>
      </w:r>
    </w:p>
    <w:p w:rsidR="00A44FBF" w:rsidRPr="0077739A" w:rsidRDefault="00A44FBF" w:rsidP="00A44FBF">
      <w:pPr>
        <w:autoSpaceDE w:val="0"/>
        <w:autoSpaceDN w:val="0"/>
        <w:adjustRightInd w:val="0"/>
        <w:spacing w:after="120"/>
        <w:ind w:left="1656"/>
        <w:rPr>
          <w:sz w:val="22"/>
          <w:szCs w:val="22"/>
        </w:rPr>
      </w:pPr>
    </w:p>
    <w:p w:rsidR="00A44FBF" w:rsidRPr="00B0478C" w:rsidRDefault="00A44FBF" w:rsidP="00B0478C">
      <w:pPr>
        <w:pStyle w:val="Paragraphedeliste"/>
        <w:numPr>
          <w:ilvl w:val="0"/>
          <w:numId w:val="1"/>
        </w:numPr>
        <w:autoSpaceDE w:val="0"/>
        <w:autoSpaceDN w:val="0"/>
        <w:adjustRightInd w:val="0"/>
        <w:spacing w:after="120"/>
        <w:rPr>
          <w:sz w:val="22"/>
          <w:szCs w:val="22"/>
        </w:rPr>
      </w:pPr>
      <w:r w:rsidRPr="00B0478C">
        <w:rPr>
          <w:b/>
          <w:sz w:val="22"/>
          <w:szCs w:val="22"/>
        </w:rPr>
        <w:t>L’introduction d’une décision implicite d’acceptation pour les décisions prises par le Préfet</w:t>
      </w:r>
      <w:r w:rsidRPr="00B0478C">
        <w:rPr>
          <w:sz w:val="22"/>
          <w:szCs w:val="22"/>
        </w:rPr>
        <w:t> ; et ce qu’elles que soient la demande d’un gestionnaire d’ERP ou d’un service de transport public ; c’est-à-dire que cela concerne une demande de prolongation de dépôt d’ADAP, une demande de validation de l’ADAP, une demande de suspension ou de prorogation des délais des ADAP, etc.</w:t>
      </w:r>
    </w:p>
    <w:p w:rsidR="00820486" w:rsidRDefault="00710B08" w:rsidP="000C735A">
      <w:pPr>
        <w:autoSpaceDE w:val="0"/>
        <w:autoSpaceDN w:val="0"/>
        <w:adjustRightInd w:val="0"/>
        <w:ind w:left="1718"/>
        <w:rPr>
          <w:sz w:val="22"/>
          <w:szCs w:val="22"/>
        </w:rPr>
      </w:pPr>
      <w:r>
        <w:rPr>
          <w:sz w:val="22"/>
          <w:szCs w:val="22"/>
        </w:rPr>
        <w:t xml:space="preserve">      </w:t>
      </w:r>
      <w:r w:rsidR="0067159F" w:rsidRPr="0067159F">
        <w:rPr>
          <w:sz w:val="22"/>
          <w:szCs w:val="22"/>
        </w:rPr>
        <w:t>Après le constat d’une inertie quasi-généralisée depuis 40 ans, i</w:t>
      </w:r>
      <w:r w:rsidR="00820486" w:rsidRPr="0067159F">
        <w:rPr>
          <w:sz w:val="22"/>
          <w:szCs w:val="22"/>
        </w:rPr>
        <w:t>l est nécessaire de revenir à un dispositif encadré</w:t>
      </w:r>
      <w:r w:rsidR="0067159F" w:rsidRPr="0067159F">
        <w:rPr>
          <w:sz w:val="22"/>
          <w:szCs w:val="22"/>
        </w:rPr>
        <w:t xml:space="preserve"> avec notamment un régime d’autorisation </w:t>
      </w:r>
      <w:r w:rsidR="003A39F6">
        <w:rPr>
          <w:sz w:val="22"/>
          <w:szCs w:val="22"/>
        </w:rPr>
        <w:t>notifiée</w:t>
      </w:r>
      <w:r w:rsidR="003E652D">
        <w:rPr>
          <w:sz w:val="22"/>
          <w:szCs w:val="22"/>
        </w:rPr>
        <w:t xml:space="preserve"> et motivée</w:t>
      </w:r>
      <w:r w:rsidR="0067159F" w:rsidRPr="0067159F">
        <w:rPr>
          <w:sz w:val="22"/>
          <w:szCs w:val="22"/>
        </w:rPr>
        <w:t>, sans quoi toute demande sera réputée refusée.</w:t>
      </w:r>
      <w:r w:rsidR="00820486" w:rsidRPr="0067159F">
        <w:rPr>
          <w:sz w:val="22"/>
          <w:szCs w:val="22"/>
        </w:rPr>
        <w:t xml:space="preserve"> </w:t>
      </w:r>
    </w:p>
    <w:p w:rsidR="004F4063" w:rsidRDefault="004F4063" w:rsidP="000C735A">
      <w:pPr>
        <w:autoSpaceDE w:val="0"/>
        <w:autoSpaceDN w:val="0"/>
        <w:adjustRightInd w:val="0"/>
        <w:ind w:left="1718"/>
        <w:rPr>
          <w:sz w:val="22"/>
          <w:szCs w:val="22"/>
        </w:rPr>
      </w:pPr>
    </w:p>
    <w:p w:rsidR="000C735A" w:rsidRDefault="000C735A" w:rsidP="00D32185">
      <w:pPr>
        <w:autoSpaceDE w:val="0"/>
        <w:autoSpaceDN w:val="0"/>
        <w:adjustRightInd w:val="0"/>
        <w:ind w:left="1718"/>
        <w:rPr>
          <w:sz w:val="22"/>
          <w:szCs w:val="22"/>
        </w:rPr>
      </w:pPr>
      <w:r>
        <w:rPr>
          <w:sz w:val="22"/>
          <w:szCs w:val="22"/>
        </w:rPr>
        <w:t xml:space="preserve">      Néanmoins, le CNCPH prend acte que le Secrétariat d’Etat aux personnes handicapées a annoncé lors de la présente séance, que le projet d’Ordonnance serait modifié pour intégrer un accord explicite et motivé de l’autorité administrative</w:t>
      </w:r>
      <w:r w:rsidR="00610EB4">
        <w:rPr>
          <w:sz w:val="22"/>
          <w:szCs w:val="22"/>
        </w:rPr>
        <w:t xml:space="preserve"> pour toute demande de dépassement de période (de 1 à 2 périodes, ou de 2 à 3 périodes).</w:t>
      </w:r>
    </w:p>
    <w:p w:rsidR="004F4063" w:rsidRDefault="004F4063" w:rsidP="00D32185">
      <w:pPr>
        <w:autoSpaceDE w:val="0"/>
        <w:autoSpaceDN w:val="0"/>
        <w:adjustRightInd w:val="0"/>
        <w:ind w:left="1718"/>
        <w:rPr>
          <w:sz w:val="22"/>
          <w:szCs w:val="22"/>
        </w:rPr>
      </w:pPr>
    </w:p>
    <w:p w:rsidR="00D32185" w:rsidRDefault="00D32185" w:rsidP="00D32185">
      <w:pPr>
        <w:autoSpaceDE w:val="0"/>
        <w:autoSpaceDN w:val="0"/>
        <w:adjustRightInd w:val="0"/>
        <w:ind w:left="1718"/>
        <w:rPr>
          <w:sz w:val="22"/>
          <w:szCs w:val="22"/>
        </w:rPr>
      </w:pPr>
      <w:r>
        <w:rPr>
          <w:sz w:val="22"/>
          <w:szCs w:val="22"/>
        </w:rPr>
        <w:t xml:space="preserve">      Malgré cette avancée, le point de vue du CNCPH demeure quant au régime général des décisions implicites d’acceptation du Préfet.</w:t>
      </w:r>
    </w:p>
    <w:p w:rsidR="00610EB4" w:rsidRPr="0067159F" w:rsidRDefault="00610EB4" w:rsidP="00B0478C">
      <w:pPr>
        <w:autoSpaceDE w:val="0"/>
        <w:autoSpaceDN w:val="0"/>
        <w:adjustRightInd w:val="0"/>
        <w:spacing w:after="120"/>
        <w:ind w:left="1716"/>
        <w:rPr>
          <w:sz w:val="22"/>
          <w:szCs w:val="22"/>
        </w:rPr>
      </w:pPr>
      <w:r>
        <w:rPr>
          <w:sz w:val="22"/>
          <w:szCs w:val="22"/>
        </w:rPr>
        <w:t xml:space="preserve">     </w:t>
      </w:r>
    </w:p>
    <w:p w:rsidR="00A44FBF" w:rsidRDefault="00A44FBF" w:rsidP="00A44FBF">
      <w:pPr>
        <w:autoSpaceDE w:val="0"/>
        <w:autoSpaceDN w:val="0"/>
        <w:adjustRightInd w:val="0"/>
        <w:spacing w:after="120"/>
        <w:ind w:left="1656"/>
      </w:pPr>
    </w:p>
    <w:p w:rsidR="00A44FBF" w:rsidRPr="00B0478C" w:rsidRDefault="001A2CA6" w:rsidP="00B0478C">
      <w:pPr>
        <w:pStyle w:val="Paragraphedeliste"/>
        <w:numPr>
          <w:ilvl w:val="0"/>
          <w:numId w:val="1"/>
        </w:numPr>
        <w:autoSpaceDE w:val="0"/>
        <w:autoSpaceDN w:val="0"/>
        <w:adjustRightInd w:val="0"/>
        <w:spacing w:after="120"/>
        <w:rPr>
          <w:b/>
          <w:sz w:val="22"/>
          <w:szCs w:val="22"/>
        </w:rPr>
      </w:pPr>
      <w:r w:rsidRPr="00B0478C">
        <w:rPr>
          <w:b/>
          <w:sz w:val="22"/>
          <w:szCs w:val="22"/>
        </w:rPr>
        <w:t>L’incohérence du temps procédural</w:t>
      </w:r>
      <w:r w:rsidR="00A44FBF" w:rsidRPr="00B0478C">
        <w:rPr>
          <w:b/>
          <w:sz w:val="22"/>
          <w:szCs w:val="22"/>
        </w:rPr>
        <w:t xml:space="preserve"> entre</w:t>
      </w:r>
      <w:r w:rsidR="00DA29A7" w:rsidRPr="00B0478C">
        <w:rPr>
          <w:b/>
          <w:sz w:val="22"/>
          <w:szCs w:val="22"/>
        </w:rPr>
        <w:t xml:space="preserve"> un délai de 5 mois accordé au Préfet</w:t>
      </w:r>
      <w:r w:rsidR="00A44FBF" w:rsidRPr="00B0478C">
        <w:rPr>
          <w:b/>
          <w:sz w:val="22"/>
          <w:szCs w:val="22"/>
        </w:rPr>
        <w:t xml:space="preserve"> pour instruire les dossiers d’ADAP, et le délai de 2 mois pour lequel une validation d’ADAP est réputée validée faute de décision </w:t>
      </w:r>
      <w:r w:rsidR="003E652D">
        <w:rPr>
          <w:b/>
          <w:sz w:val="22"/>
          <w:szCs w:val="22"/>
        </w:rPr>
        <w:t>motivé</w:t>
      </w:r>
      <w:r w:rsidR="00DA29A7" w:rsidRPr="00B0478C">
        <w:rPr>
          <w:b/>
          <w:sz w:val="22"/>
          <w:szCs w:val="22"/>
        </w:rPr>
        <w:t>e dudit Préfet</w:t>
      </w:r>
      <w:r w:rsidR="00A44FBF" w:rsidRPr="00B0478C">
        <w:rPr>
          <w:b/>
          <w:sz w:val="22"/>
          <w:szCs w:val="22"/>
        </w:rPr>
        <w:t>…</w:t>
      </w:r>
    </w:p>
    <w:p w:rsidR="00A44FBF" w:rsidRDefault="00A44FBF" w:rsidP="00A44FBF">
      <w:pPr>
        <w:autoSpaceDE w:val="0"/>
        <w:autoSpaceDN w:val="0"/>
        <w:adjustRightInd w:val="0"/>
        <w:spacing w:after="120"/>
        <w:ind w:left="1656"/>
      </w:pPr>
    </w:p>
    <w:p w:rsidR="00A44FBF" w:rsidRDefault="00A44FBF" w:rsidP="00225325">
      <w:pPr>
        <w:pStyle w:val="Paragraphedeliste"/>
        <w:numPr>
          <w:ilvl w:val="0"/>
          <w:numId w:val="1"/>
        </w:numPr>
        <w:autoSpaceDE w:val="0"/>
        <w:autoSpaceDN w:val="0"/>
        <w:adjustRightInd w:val="0"/>
        <w:ind w:left="1775" w:hanging="357"/>
        <w:rPr>
          <w:sz w:val="22"/>
          <w:szCs w:val="22"/>
        </w:rPr>
      </w:pPr>
      <w:r w:rsidRPr="00B0478C">
        <w:rPr>
          <w:b/>
          <w:sz w:val="22"/>
          <w:szCs w:val="22"/>
        </w:rPr>
        <w:t>L’introduction d’un nouveau motif de dérogation pour les ERP existants</w:t>
      </w:r>
      <w:r w:rsidRPr="00B0478C">
        <w:rPr>
          <w:sz w:val="22"/>
          <w:szCs w:val="22"/>
        </w:rPr>
        <w:t xml:space="preserve">, </w:t>
      </w:r>
      <w:r w:rsidRPr="00B0478C">
        <w:rPr>
          <w:i/>
          <w:sz w:val="22"/>
          <w:szCs w:val="22"/>
        </w:rPr>
        <w:t>via</w:t>
      </w:r>
      <w:r w:rsidRPr="00B0478C">
        <w:rPr>
          <w:sz w:val="22"/>
          <w:szCs w:val="22"/>
        </w:rPr>
        <w:t xml:space="preserve"> un refus d’une copropriété de se rendre accessible ; et ce alors que cette possibilité était déjà prévue par la loi du 11 février 2005 par les motifs réglementaires d’ « impossibilité technique » et de « disproportion manifeste entre les améliorations à apporter et leurs conséquences »…</w:t>
      </w:r>
    </w:p>
    <w:p w:rsidR="00225325" w:rsidRPr="00225325" w:rsidRDefault="00225325" w:rsidP="00225325">
      <w:pPr>
        <w:pStyle w:val="Paragraphedeliste"/>
        <w:rPr>
          <w:sz w:val="22"/>
          <w:szCs w:val="22"/>
        </w:rPr>
      </w:pPr>
    </w:p>
    <w:p w:rsidR="00225325" w:rsidRDefault="00225325" w:rsidP="00225325">
      <w:pPr>
        <w:autoSpaceDE w:val="0"/>
        <w:autoSpaceDN w:val="0"/>
        <w:adjustRightInd w:val="0"/>
        <w:rPr>
          <w:sz w:val="22"/>
          <w:szCs w:val="22"/>
        </w:rPr>
      </w:pPr>
    </w:p>
    <w:p w:rsidR="00225325" w:rsidRPr="00225325" w:rsidRDefault="00225325" w:rsidP="00225325">
      <w:pPr>
        <w:autoSpaceDE w:val="0"/>
        <w:autoSpaceDN w:val="0"/>
        <w:adjustRightInd w:val="0"/>
        <w:rPr>
          <w:sz w:val="22"/>
          <w:szCs w:val="22"/>
        </w:rPr>
      </w:pPr>
    </w:p>
    <w:p w:rsidR="00F37B0E" w:rsidRDefault="00973E66" w:rsidP="00B0478C">
      <w:pPr>
        <w:autoSpaceDE w:val="0"/>
        <w:autoSpaceDN w:val="0"/>
        <w:adjustRightInd w:val="0"/>
        <w:spacing w:after="120"/>
        <w:ind w:left="1776"/>
        <w:rPr>
          <w:sz w:val="22"/>
          <w:szCs w:val="22"/>
        </w:rPr>
      </w:pPr>
      <w:r>
        <w:rPr>
          <w:sz w:val="22"/>
          <w:szCs w:val="22"/>
        </w:rPr>
        <w:t xml:space="preserve">      </w:t>
      </w:r>
      <w:r w:rsidR="00F37B0E">
        <w:rPr>
          <w:sz w:val="22"/>
          <w:szCs w:val="22"/>
        </w:rPr>
        <w:t xml:space="preserve">Le CNCPH propose plutôt de considérer qu’une </w:t>
      </w:r>
      <w:r w:rsidR="00B0478C">
        <w:rPr>
          <w:sz w:val="22"/>
          <w:szCs w:val="22"/>
        </w:rPr>
        <w:t>copropriété</w:t>
      </w:r>
      <w:r w:rsidR="00F37B0E">
        <w:rPr>
          <w:sz w:val="22"/>
          <w:szCs w:val="22"/>
        </w:rPr>
        <w:t xml:space="preserve"> ne peut refuser une mise en accessibilité sauf en cas d’impossibilité technique avérée ou </w:t>
      </w:r>
      <w:r w:rsidR="00B0478C">
        <w:rPr>
          <w:sz w:val="22"/>
          <w:szCs w:val="22"/>
        </w:rPr>
        <w:t xml:space="preserve">de </w:t>
      </w:r>
      <w:r w:rsidR="00F37B0E">
        <w:rPr>
          <w:sz w:val="22"/>
          <w:szCs w:val="22"/>
        </w:rPr>
        <w:t xml:space="preserve">disproportion manifeste entre les améliorations à apporter et leurs conséquences ; et ce </w:t>
      </w:r>
      <w:r w:rsidR="00F37B0E">
        <w:rPr>
          <w:i/>
          <w:sz w:val="22"/>
          <w:szCs w:val="22"/>
        </w:rPr>
        <w:t xml:space="preserve">via </w:t>
      </w:r>
      <w:r w:rsidR="00F37B0E">
        <w:rPr>
          <w:sz w:val="22"/>
          <w:szCs w:val="22"/>
        </w:rPr>
        <w:t>un avis dûment justifié d’une durée limitée à 5 ans.</w:t>
      </w:r>
    </w:p>
    <w:p w:rsidR="00F37B0E" w:rsidRDefault="00973E66" w:rsidP="00B0478C">
      <w:pPr>
        <w:autoSpaceDE w:val="0"/>
        <w:autoSpaceDN w:val="0"/>
        <w:adjustRightInd w:val="0"/>
        <w:ind w:left="1716"/>
        <w:rPr>
          <w:rFonts w:eastAsiaTheme="minorHAnsi" w:cs="Arial"/>
          <w:bCs/>
          <w:sz w:val="22"/>
          <w:szCs w:val="22"/>
          <w:lang w:eastAsia="en-US"/>
        </w:rPr>
      </w:pPr>
      <w:r>
        <w:rPr>
          <w:sz w:val="22"/>
          <w:szCs w:val="22"/>
        </w:rPr>
        <w:t xml:space="preserve">      </w:t>
      </w:r>
      <w:r w:rsidR="00F37B0E">
        <w:rPr>
          <w:sz w:val="22"/>
          <w:szCs w:val="22"/>
        </w:rPr>
        <w:t>A ce sujet, le CNCPH regrette que la proposition de Madame l</w:t>
      </w:r>
      <w:r w:rsidR="00C17A7D">
        <w:rPr>
          <w:sz w:val="22"/>
          <w:szCs w:val="22"/>
        </w:rPr>
        <w:t>a sénatrice Claire-Lise Campion, de r</w:t>
      </w:r>
      <w:r w:rsidR="00C17A7D" w:rsidRPr="00C17A7D">
        <w:rPr>
          <w:rFonts w:eastAsiaTheme="minorHAnsi" w:cs="Arial"/>
          <w:bCs/>
          <w:sz w:val="22"/>
          <w:szCs w:val="22"/>
          <w:lang w:eastAsia="en-US"/>
        </w:rPr>
        <w:t>endre illégal le refus, par une assemblée de copropriété, d'autoriser</w:t>
      </w:r>
      <w:r w:rsidR="00C17A7D">
        <w:rPr>
          <w:rFonts w:eastAsiaTheme="minorHAnsi" w:cs="Arial"/>
          <w:bCs/>
          <w:sz w:val="22"/>
          <w:szCs w:val="22"/>
          <w:lang w:eastAsia="en-US"/>
        </w:rPr>
        <w:t xml:space="preserve"> </w:t>
      </w:r>
      <w:r w:rsidR="00C17A7D" w:rsidRPr="00C17A7D">
        <w:rPr>
          <w:rFonts w:eastAsiaTheme="minorHAnsi" w:cs="Arial"/>
          <w:bCs/>
          <w:sz w:val="22"/>
          <w:szCs w:val="22"/>
          <w:lang w:eastAsia="en-US"/>
        </w:rPr>
        <w:t>l'occupant d'un logement à réaliser à ses frais des travaux de mise en</w:t>
      </w:r>
      <w:r w:rsidR="00C17A7D">
        <w:rPr>
          <w:rFonts w:eastAsiaTheme="minorHAnsi" w:cs="Arial"/>
          <w:bCs/>
          <w:sz w:val="22"/>
          <w:szCs w:val="22"/>
          <w:lang w:eastAsia="en-US"/>
        </w:rPr>
        <w:t xml:space="preserve"> </w:t>
      </w:r>
      <w:r w:rsidR="00C17A7D" w:rsidRPr="00C17A7D">
        <w:rPr>
          <w:rFonts w:eastAsiaTheme="minorHAnsi" w:cs="Arial"/>
          <w:bCs/>
          <w:sz w:val="22"/>
          <w:szCs w:val="22"/>
          <w:lang w:eastAsia="en-US"/>
        </w:rPr>
        <w:t>accessibilité</w:t>
      </w:r>
      <w:r w:rsidR="00C17A7D">
        <w:rPr>
          <w:rFonts w:eastAsiaTheme="minorHAnsi" w:cs="Arial"/>
          <w:bCs/>
          <w:sz w:val="22"/>
          <w:szCs w:val="22"/>
          <w:lang w:eastAsia="en-US"/>
        </w:rPr>
        <w:t>, n’ait pas été retenue (Mesure n°21 du rapport « </w:t>
      </w:r>
      <w:r w:rsidR="00C17A7D" w:rsidRPr="004A728F">
        <w:rPr>
          <w:rFonts w:eastAsiaTheme="minorHAnsi" w:cs="Arial"/>
          <w:bCs/>
          <w:i/>
          <w:sz w:val="22"/>
          <w:szCs w:val="22"/>
          <w:lang w:eastAsia="en-US"/>
        </w:rPr>
        <w:t>Réussir 2015</w:t>
      </w:r>
      <w:r w:rsidR="00C17A7D">
        <w:rPr>
          <w:rFonts w:eastAsiaTheme="minorHAnsi" w:cs="Arial"/>
          <w:bCs/>
          <w:sz w:val="22"/>
          <w:szCs w:val="22"/>
          <w:lang w:eastAsia="en-US"/>
        </w:rPr>
        <w:t> », Mars 2013).</w:t>
      </w:r>
    </w:p>
    <w:p w:rsidR="005E75C6" w:rsidRDefault="005E75C6" w:rsidP="00B0478C">
      <w:pPr>
        <w:autoSpaceDE w:val="0"/>
        <w:autoSpaceDN w:val="0"/>
        <w:adjustRightInd w:val="0"/>
        <w:ind w:left="1716"/>
        <w:rPr>
          <w:rFonts w:eastAsiaTheme="minorHAnsi" w:cs="Arial"/>
          <w:bCs/>
          <w:sz w:val="22"/>
          <w:szCs w:val="22"/>
          <w:lang w:eastAsia="en-US"/>
        </w:rPr>
      </w:pPr>
    </w:p>
    <w:p w:rsidR="00F77B23" w:rsidRDefault="00F77B23" w:rsidP="00C17A7D">
      <w:pPr>
        <w:autoSpaceDE w:val="0"/>
        <w:autoSpaceDN w:val="0"/>
        <w:adjustRightInd w:val="0"/>
        <w:ind w:left="2424"/>
        <w:rPr>
          <w:rFonts w:cs="Arial"/>
          <w:sz w:val="22"/>
          <w:szCs w:val="22"/>
        </w:rPr>
      </w:pPr>
    </w:p>
    <w:p w:rsidR="00F77B23" w:rsidRPr="00B0478C" w:rsidRDefault="00F77B23" w:rsidP="00B0478C">
      <w:pPr>
        <w:pStyle w:val="Paragraphedeliste"/>
        <w:numPr>
          <w:ilvl w:val="0"/>
          <w:numId w:val="1"/>
        </w:numPr>
        <w:autoSpaceDE w:val="0"/>
        <w:autoSpaceDN w:val="0"/>
        <w:adjustRightInd w:val="0"/>
        <w:spacing w:after="120"/>
        <w:rPr>
          <w:sz w:val="22"/>
          <w:szCs w:val="22"/>
        </w:rPr>
      </w:pPr>
      <w:r w:rsidRPr="00B0478C">
        <w:rPr>
          <w:b/>
          <w:sz w:val="22"/>
          <w:szCs w:val="22"/>
        </w:rPr>
        <w:t>La suppression injustifiable de l’obligation faîte à un ERP existant de respecter les obligations réglementaires du neuf lorsque celui effectue des travaux</w:t>
      </w:r>
      <w:r w:rsidRPr="00B0478C">
        <w:rPr>
          <w:sz w:val="22"/>
          <w:szCs w:val="22"/>
        </w:rPr>
        <w:t>.</w:t>
      </w:r>
    </w:p>
    <w:p w:rsidR="00F77B23" w:rsidRDefault="00973E66" w:rsidP="00B0478C">
      <w:pPr>
        <w:autoSpaceDE w:val="0"/>
        <w:autoSpaceDN w:val="0"/>
        <w:adjustRightInd w:val="0"/>
        <w:spacing w:after="120"/>
        <w:ind w:left="1776"/>
        <w:rPr>
          <w:sz w:val="22"/>
          <w:szCs w:val="22"/>
        </w:rPr>
      </w:pPr>
      <w:r>
        <w:rPr>
          <w:b/>
          <w:sz w:val="22"/>
          <w:szCs w:val="22"/>
        </w:rPr>
        <w:t xml:space="preserve">      </w:t>
      </w:r>
      <w:r w:rsidR="00F77B23">
        <w:rPr>
          <w:b/>
          <w:sz w:val="22"/>
          <w:szCs w:val="22"/>
        </w:rPr>
        <w:t xml:space="preserve">Le CNCPH dénonce également la suppression de l’obligation </w:t>
      </w:r>
      <w:r w:rsidR="00B0478C">
        <w:rPr>
          <w:b/>
          <w:sz w:val="22"/>
          <w:szCs w:val="22"/>
        </w:rPr>
        <w:t xml:space="preserve"> </w:t>
      </w:r>
      <w:r w:rsidR="00F77B23">
        <w:rPr>
          <w:b/>
          <w:sz w:val="22"/>
          <w:szCs w:val="22"/>
        </w:rPr>
        <w:t>d’accessibilité pour les ERP, crées par changement de destination, accueillant des professions libérales</w:t>
      </w:r>
      <w:r w:rsidR="00F77B23" w:rsidRPr="00F77B23">
        <w:rPr>
          <w:sz w:val="22"/>
          <w:szCs w:val="22"/>
        </w:rPr>
        <w:t>.</w:t>
      </w:r>
    </w:p>
    <w:p w:rsidR="00F77B23" w:rsidRPr="00B0478C" w:rsidRDefault="00973E66" w:rsidP="00B0478C">
      <w:pPr>
        <w:autoSpaceDE w:val="0"/>
        <w:autoSpaceDN w:val="0"/>
        <w:adjustRightInd w:val="0"/>
        <w:spacing w:after="120"/>
        <w:ind w:left="1776"/>
        <w:rPr>
          <w:sz w:val="22"/>
          <w:szCs w:val="22"/>
        </w:rPr>
      </w:pPr>
      <w:r>
        <w:rPr>
          <w:sz w:val="22"/>
          <w:szCs w:val="22"/>
        </w:rPr>
        <w:t xml:space="preserve">     </w:t>
      </w:r>
      <w:r w:rsidR="00F77B23" w:rsidRPr="00B0478C">
        <w:rPr>
          <w:sz w:val="22"/>
          <w:szCs w:val="22"/>
        </w:rPr>
        <w:t>Cela signifie</w:t>
      </w:r>
      <w:r w:rsidR="00B0478C" w:rsidRPr="00B0478C">
        <w:rPr>
          <w:sz w:val="22"/>
          <w:szCs w:val="22"/>
        </w:rPr>
        <w:t xml:space="preserve"> par exemple,</w:t>
      </w:r>
      <w:r w:rsidR="00F77B23" w:rsidRPr="00B0478C">
        <w:rPr>
          <w:sz w:val="22"/>
          <w:szCs w:val="22"/>
        </w:rPr>
        <w:t xml:space="preserve"> qu’un médecin qui acquiert un logement pour y faire son cabinet médical ne serait plus obligé d’être </w:t>
      </w:r>
      <w:r w:rsidR="00891E80">
        <w:rPr>
          <w:sz w:val="22"/>
          <w:szCs w:val="22"/>
        </w:rPr>
        <w:t xml:space="preserve">de respecter les règles les </w:t>
      </w:r>
      <w:r w:rsidR="00624D68">
        <w:rPr>
          <w:sz w:val="22"/>
          <w:szCs w:val="22"/>
        </w:rPr>
        <w:t xml:space="preserve">plus </w:t>
      </w:r>
      <w:r w:rsidR="00891E80">
        <w:rPr>
          <w:sz w:val="22"/>
          <w:szCs w:val="22"/>
        </w:rPr>
        <w:t>avantageuses en matière d’accessibilité</w:t>
      </w:r>
      <w:r w:rsidR="00F77B23" w:rsidRPr="00B0478C">
        <w:rPr>
          <w:sz w:val="22"/>
          <w:szCs w:val="22"/>
        </w:rPr>
        <w:t>.</w:t>
      </w:r>
    </w:p>
    <w:p w:rsidR="001B3ED1" w:rsidRDefault="001B3ED1" w:rsidP="00F77B23">
      <w:pPr>
        <w:autoSpaceDE w:val="0"/>
        <w:autoSpaceDN w:val="0"/>
        <w:adjustRightInd w:val="0"/>
        <w:spacing w:after="120"/>
        <w:ind w:left="2496"/>
        <w:rPr>
          <w:sz w:val="22"/>
          <w:szCs w:val="22"/>
        </w:rPr>
      </w:pPr>
    </w:p>
    <w:p w:rsidR="001B3ED1" w:rsidRDefault="001B3ED1" w:rsidP="001B3ED1">
      <w:pPr>
        <w:autoSpaceDE w:val="0"/>
        <w:autoSpaceDN w:val="0"/>
        <w:adjustRightInd w:val="0"/>
        <w:spacing w:after="120"/>
        <w:rPr>
          <w:sz w:val="22"/>
          <w:szCs w:val="22"/>
        </w:rPr>
      </w:pPr>
    </w:p>
    <w:p w:rsidR="001B3ED1" w:rsidRDefault="001B3ED1" w:rsidP="001B3ED1">
      <w:pPr>
        <w:autoSpaceDE w:val="0"/>
        <w:autoSpaceDN w:val="0"/>
        <w:adjustRightInd w:val="0"/>
        <w:spacing w:after="120"/>
        <w:rPr>
          <w:sz w:val="22"/>
          <w:szCs w:val="22"/>
          <w:u w:val="single"/>
        </w:rPr>
      </w:pPr>
      <w:r>
        <w:rPr>
          <w:sz w:val="22"/>
          <w:szCs w:val="22"/>
        </w:rPr>
        <w:tab/>
      </w:r>
      <w:r w:rsidRPr="001B3ED1">
        <w:rPr>
          <w:sz w:val="22"/>
          <w:szCs w:val="22"/>
          <w:u w:val="single"/>
        </w:rPr>
        <w:t>-3 – Des sanctions non-dissuasives</w:t>
      </w:r>
      <w:r w:rsidR="005E75C6">
        <w:rPr>
          <w:sz w:val="22"/>
          <w:szCs w:val="22"/>
          <w:u w:val="single"/>
        </w:rPr>
        <w:t> :</w:t>
      </w:r>
    </w:p>
    <w:p w:rsidR="005E75C6" w:rsidRDefault="005E75C6" w:rsidP="001B3ED1">
      <w:pPr>
        <w:autoSpaceDE w:val="0"/>
        <w:autoSpaceDN w:val="0"/>
        <w:adjustRightInd w:val="0"/>
        <w:spacing w:after="120"/>
        <w:rPr>
          <w:sz w:val="22"/>
          <w:szCs w:val="22"/>
          <w:u w:val="single"/>
        </w:rPr>
      </w:pPr>
    </w:p>
    <w:p w:rsidR="001B3ED1" w:rsidRDefault="005E75C6" w:rsidP="00541776">
      <w:pPr>
        <w:autoSpaceDE w:val="0"/>
        <w:autoSpaceDN w:val="0"/>
        <w:adjustRightInd w:val="0"/>
        <w:spacing w:after="120"/>
        <w:ind w:left="0" w:firstLine="0"/>
        <w:rPr>
          <w:sz w:val="22"/>
          <w:szCs w:val="22"/>
        </w:rPr>
      </w:pPr>
      <w:r>
        <w:rPr>
          <w:sz w:val="22"/>
          <w:szCs w:val="22"/>
        </w:rPr>
        <w:t xml:space="preserve">Suite à notre constat général d’une </w:t>
      </w:r>
      <w:r w:rsidR="00541776">
        <w:rPr>
          <w:sz w:val="22"/>
          <w:szCs w:val="22"/>
        </w:rPr>
        <w:t xml:space="preserve">trop grande souplesse, le CNCPH </w:t>
      </w:r>
      <w:r>
        <w:rPr>
          <w:sz w:val="22"/>
          <w:szCs w:val="22"/>
        </w:rPr>
        <w:t>dénonce entre autres :</w:t>
      </w:r>
    </w:p>
    <w:p w:rsidR="005E75C6" w:rsidRPr="002C37AA" w:rsidRDefault="005E75C6" w:rsidP="001B3ED1">
      <w:pPr>
        <w:autoSpaceDE w:val="0"/>
        <w:autoSpaceDN w:val="0"/>
        <w:adjustRightInd w:val="0"/>
        <w:spacing w:after="120"/>
        <w:rPr>
          <w:sz w:val="22"/>
          <w:szCs w:val="22"/>
        </w:rPr>
      </w:pPr>
    </w:p>
    <w:p w:rsidR="00F77B23" w:rsidRPr="001A3A4D" w:rsidRDefault="001B3ED1" w:rsidP="00F77B23">
      <w:pPr>
        <w:pStyle w:val="Paragraphedeliste"/>
        <w:numPr>
          <w:ilvl w:val="0"/>
          <w:numId w:val="1"/>
        </w:numPr>
        <w:autoSpaceDE w:val="0"/>
        <w:autoSpaceDN w:val="0"/>
        <w:adjustRightInd w:val="0"/>
        <w:spacing w:after="120"/>
        <w:rPr>
          <w:rFonts w:cs="Arial"/>
          <w:sz w:val="22"/>
          <w:szCs w:val="22"/>
        </w:rPr>
      </w:pPr>
      <w:r w:rsidRPr="001A3A4D">
        <w:rPr>
          <w:b/>
          <w:sz w:val="22"/>
          <w:szCs w:val="22"/>
        </w:rPr>
        <w:t xml:space="preserve">La suppression de la sanction pénale pour l’entrave à </w:t>
      </w:r>
      <w:r w:rsidR="007C6B92">
        <w:rPr>
          <w:b/>
          <w:sz w:val="22"/>
          <w:szCs w:val="22"/>
        </w:rPr>
        <w:t>l’</w:t>
      </w:r>
      <w:r w:rsidRPr="001A3A4D">
        <w:rPr>
          <w:b/>
          <w:sz w:val="22"/>
          <w:szCs w:val="22"/>
        </w:rPr>
        <w:t>un des articles les plus fondamentaux du Code de la Construction et de l’Habitation</w:t>
      </w:r>
      <w:r>
        <w:t xml:space="preserve"> (Article L. 111-7).</w:t>
      </w:r>
    </w:p>
    <w:p w:rsidR="00F37B0E" w:rsidRDefault="00F37B0E" w:rsidP="00F37B0E">
      <w:pPr>
        <w:pStyle w:val="Paragraphedeliste"/>
        <w:rPr>
          <w:sz w:val="22"/>
          <w:szCs w:val="22"/>
        </w:rPr>
      </w:pPr>
    </w:p>
    <w:p w:rsidR="00A44FBF" w:rsidRPr="001B3ED1" w:rsidRDefault="00A44FBF" w:rsidP="001A3A4D">
      <w:pPr>
        <w:pStyle w:val="Paragraphedeliste"/>
        <w:numPr>
          <w:ilvl w:val="0"/>
          <w:numId w:val="1"/>
        </w:numPr>
        <w:autoSpaceDE w:val="0"/>
        <w:autoSpaceDN w:val="0"/>
        <w:adjustRightInd w:val="0"/>
        <w:spacing w:after="120"/>
      </w:pPr>
      <w:r w:rsidRPr="001A3A4D">
        <w:rPr>
          <w:b/>
          <w:sz w:val="22"/>
          <w:szCs w:val="22"/>
        </w:rPr>
        <w:t>La suppression de la sanction automatique pour inexécution d’un ADAP pour les ERP</w:t>
      </w:r>
      <w:r w:rsidRPr="001A3A4D">
        <w:rPr>
          <w:sz w:val="22"/>
          <w:szCs w:val="22"/>
        </w:rPr>
        <w:t>.</w:t>
      </w:r>
    </w:p>
    <w:p w:rsidR="001B3ED1" w:rsidRPr="001B3ED1" w:rsidRDefault="001B3ED1" w:rsidP="001B3ED1">
      <w:pPr>
        <w:autoSpaceDE w:val="0"/>
        <w:autoSpaceDN w:val="0"/>
        <w:adjustRightInd w:val="0"/>
        <w:spacing w:after="120"/>
        <w:ind w:left="2496"/>
      </w:pPr>
    </w:p>
    <w:p w:rsidR="001B3ED1" w:rsidRDefault="001B3ED1" w:rsidP="003E57EB">
      <w:pPr>
        <w:pStyle w:val="Paragraphedeliste"/>
        <w:numPr>
          <w:ilvl w:val="0"/>
          <w:numId w:val="1"/>
        </w:numPr>
        <w:autoSpaceDE w:val="0"/>
        <w:autoSpaceDN w:val="0"/>
        <w:adjustRightInd w:val="0"/>
        <w:ind w:left="1775" w:hanging="357"/>
      </w:pPr>
      <w:r w:rsidRPr="005E75C6">
        <w:rPr>
          <w:b/>
          <w:sz w:val="22"/>
          <w:szCs w:val="22"/>
        </w:rPr>
        <w:t xml:space="preserve">L’inefficience du dispositif en raison de la faiblesse des sanctions </w:t>
      </w:r>
      <w:r w:rsidR="00B735FD">
        <w:rPr>
          <w:b/>
          <w:sz w:val="22"/>
          <w:szCs w:val="22"/>
        </w:rPr>
        <w:t xml:space="preserve">et amendes </w:t>
      </w:r>
      <w:r w:rsidRPr="005E75C6">
        <w:rPr>
          <w:b/>
          <w:sz w:val="22"/>
          <w:szCs w:val="22"/>
        </w:rPr>
        <w:t>envisagées</w:t>
      </w:r>
      <w:r w:rsidRPr="001B3ED1">
        <w:t>.</w:t>
      </w:r>
    </w:p>
    <w:p w:rsidR="004F4063" w:rsidRDefault="004F4063" w:rsidP="004F4063">
      <w:pPr>
        <w:autoSpaceDE w:val="0"/>
        <w:autoSpaceDN w:val="0"/>
        <w:adjustRightInd w:val="0"/>
        <w:ind w:left="0" w:firstLine="0"/>
      </w:pPr>
    </w:p>
    <w:p w:rsidR="003E57EB" w:rsidRPr="003E57EB" w:rsidRDefault="003E57EB" w:rsidP="003E57EB">
      <w:pPr>
        <w:autoSpaceDE w:val="0"/>
        <w:autoSpaceDN w:val="0"/>
        <w:adjustRightInd w:val="0"/>
        <w:ind w:firstLine="0"/>
        <w:rPr>
          <w:sz w:val="22"/>
          <w:szCs w:val="22"/>
        </w:rPr>
      </w:pPr>
      <w:r>
        <w:rPr>
          <w:sz w:val="22"/>
          <w:szCs w:val="22"/>
        </w:rPr>
        <w:t xml:space="preserve">Cependant, le CNCPH prend acte de l’annonce du Secrétariat d’Etat aux personnes handicapées lors de la présente séance, selon laquelle l’amende forfaitaire pour non-dépôt d’ADAP serait portée de 1500 à 2500 euros dans le projet d’Ordonnance. </w:t>
      </w:r>
    </w:p>
    <w:p w:rsidR="001B3ED1" w:rsidRDefault="001B3ED1" w:rsidP="001B3ED1">
      <w:pPr>
        <w:pStyle w:val="Paragraphedeliste"/>
      </w:pPr>
    </w:p>
    <w:p w:rsidR="001B3ED1" w:rsidRPr="0070726C" w:rsidRDefault="001B3ED1" w:rsidP="001B3ED1">
      <w:pPr>
        <w:pStyle w:val="Paragraphedeliste"/>
        <w:numPr>
          <w:ilvl w:val="0"/>
          <w:numId w:val="1"/>
        </w:numPr>
        <w:autoSpaceDE w:val="0"/>
        <w:autoSpaceDN w:val="0"/>
        <w:adjustRightInd w:val="0"/>
        <w:spacing w:after="120"/>
        <w:ind w:left="1656"/>
      </w:pPr>
      <w:r w:rsidRPr="001A3A4D">
        <w:rPr>
          <w:b/>
          <w:sz w:val="22"/>
          <w:szCs w:val="22"/>
        </w:rPr>
        <w:t>La désignation malheureuse de la CNSA</w:t>
      </w:r>
      <w:r w:rsidRPr="001A3A4D">
        <w:rPr>
          <w:sz w:val="22"/>
          <w:szCs w:val="22"/>
        </w:rPr>
        <w:t xml:space="preserve"> (Caisse Nationale de Solidarité à l’Autonomie) </w:t>
      </w:r>
      <w:r w:rsidRPr="001A3A4D">
        <w:rPr>
          <w:b/>
          <w:sz w:val="22"/>
          <w:szCs w:val="22"/>
        </w:rPr>
        <w:t xml:space="preserve">pour gérer le fonds regroupant les très faibles </w:t>
      </w:r>
      <w:r w:rsidR="009459AE">
        <w:rPr>
          <w:b/>
          <w:sz w:val="22"/>
          <w:szCs w:val="22"/>
        </w:rPr>
        <w:t>sanctions</w:t>
      </w:r>
      <w:r w:rsidRPr="001A3A4D">
        <w:rPr>
          <w:b/>
          <w:sz w:val="22"/>
          <w:szCs w:val="22"/>
        </w:rPr>
        <w:t xml:space="preserve"> liées aux ADAP</w:t>
      </w:r>
      <w:r w:rsidRPr="001A3A4D">
        <w:rPr>
          <w:sz w:val="22"/>
          <w:szCs w:val="22"/>
        </w:rPr>
        <w:t xml:space="preserve"> : </w:t>
      </w:r>
    </w:p>
    <w:p w:rsidR="001B3ED1" w:rsidRDefault="00541776" w:rsidP="001B3ED1">
      <w:pPr>
        <w:autoSpaceDE w:val="0"/>
        <w:autoSpaceDN w:val="0"/>
        <w:adjustRightInd w:val="0"/>
        <w:spacing w:after="120"/>
        <w:ind w:left="1656"/>
      </w:pPr>
      <w:r>
        <w:rPr>
          <w:sz w:val="22"/>
          <w:szCs w:val="22"/>
        </w:rPr>
        <w:t xml:space="preserve">      </w:t>
      </w:r>
      <w:r w:rsidR="001B3ED1">
        <w:rPr>
          <w:sz w:val="22"/>
          <w:szCs w:val="22"/>
        </w:rPr>
        <w:t>Le CNCPH n’</w:t>
      </w:r>
      <w:r w:rsidR="00006D5D">
        <w:rPr>
          <w:sz w:val="22"/>
          <w:szCs w:val="22"/>
        </w:rPr>
        <w:t>a</w:t>
      </w:r>
      <w:r w:rsidR="001B3ED1">
        <w:rPr>
          <w:sz w:val="22"/>
          <w:szCs w:val="22"/>
        </w:rPr>
        <w:t xml:space="preserve"> eu de cesse depuis 2005 d’expliquer que l’accessibilité n’avait rien à voir avoir les mécanismes de compensation individuelle liée à une déficience ou à l’âge. </w:t>
      </w:r>
    </w:p>
    <w:p w:rsidR="001B3ED1" w:rsidRPr="00D03204" w:rsidRDefault="00F97FF5" w:rsidP="001A3A4D">
      <w:pPr>
        <w:autoSpaceDE w:val="0"/>
        <w:autoSpaceDN w:val="0"/>
        <w:adjustRightInd w:val="0"/>
        <w:spacing w:after="120"/>
        <w:ind w:left="1656" w:firstLine="27"/>
        <w:rPr>
          <w:rFonts w:cs="Arial"/>
          <w:sz w:val="20"/>
          <w:szCs w:val="20"/>
        </w:rPr>
      </w:pPr>
      <w:r>
        <w:rPr>
          <w:sz w:val="22"/>
          <w:szCs w:val="22"/>
        </w:rPr>
        <w:lastRenderedPageBreak/>
        <w:t>Il r</w:t>
      </w:r>
      <w:r w:rsidR="001B3ED1">
        <w:rPr>
          <w:sz w:val="22"/>
          <w:szCs w:val="22"/>
        </w:rPr>
        <w:t>appel</w:t>
      </w:r>
      <w:r>
        <w:rPr>
          <w:sz w:val="22"/>
          <w:szCs w:val="22"/>
        </w:rPr>
        <w:t>le</w:t>
      </w:r>
      <w:r w:rsidR="001B3ED1">
        <w:rPr>
          <w:sz w:val="22"/>
          <w:szCs w:val="22"/>
        </w:rPr>
        <w:t xml:space="preserve"> que l’accessibilité concerne la majorité de la population française.</w:t>
      </w:r>
    </w:p>
    <w:p w:rsidR="001B3ED1" w:rsidRDefault="00541776" w:rsidP="005E75C6">
      <w:pPr>
        <w:autoSpaceDE w:val="0"/>
        <w:autoSpaceDN w:val="0"/>
        <w:adjustRightInd w:val="0"/>
        <w:spacing w:after="120"/>
        <w:ind w:left="1656"/>
        <w:rPr>
          <w:rFonts w:cs="Arial"/>
          <w:b/>
          <w:sz w:val="22"/>
          <w:szCs w:val="22"/>
        </w:rPr>
      </w:pPr>
      <w:r>
        <w:rPr>
          <w:rFonts w:cs="Arial"/>
          <w:b/>
          <w:sz w:val="22"/>
          <w:szCs w:val="22"/>
        </w:rPr>
        <w:t xml:space="preserve">      </w:t>
      </w:r>
      <w:r w:rsidR="001B3ED1" w:rsidRPr="00440810">
        <w:rPr>
          <w:rFonts w:cs="Arial"/>
          <w:b/>
          <w:sz w:val="22"/>
          <w:szCs w:val="22"/>
        </w:rPr>
        <w:t xml:space="preserve">De plus, </w:t>
      </w:r>
      <w:r w:rsidR="001B3ED1">
        <w:rPr>
          <w:rFonts w:cs="Arial"/>
          <w:b/>
          <w:sz w:val="22"/>
          <w:szCs w:val="22"/>
        </w:rPr>
        <w:t>le CNCPH</w:t>
      </w:r>
      <w:r w:rsidR="001B3ED1" w:rsidRPr="00440810">
        <w:rPr>
          <w:rFonts w:cs="Arial"/>
          <w:b/>
        </w:rPr>
        <w:t xml:space="preserve"> </w:t>
      </w:r>
      <w:r w:rsidR="001B3ED1" w:rsidRPr="00440810">
        <w:rPr>
          <w:rFonts w:cs="Arial"/>
          <w:b/>
          <w:sz w:val="22"/>
          <w:szCs w:val="22"/>
        </w:rPr>
        <w:t>a déjà fait constater le manque de moyens de la CNSA</w:t>
      </w:r>
      <w:r w:rsidR="001B3ED1" w:rsidRPr="00D03204">
        <w:rPr>
          <w:rFonts w:cs="Arial"/>
          <w:b/>
          <w:sz w:val="22"/>
          <w:szCs w:val="22"/>
        </w:rPr>
        <w:t xml:space="preserve"> à gérer des fonds</w:t>
      </w:r>
      <w:r w:rsidR="00D63A61">
        <w:rPr>
          <w:rFonts w:cs="Arial"/>
          <w:b/>
          <w:sz w:val="22"/>
          <w:szCs w:val="22"/>
        </w:rPr>
        <w:t xml:space="preserve"> </w:t>
      </w:r>
      <w:r w:rsidR="001B3ED1" w:rsidRPr="00D03204">
        <w:rPr>
          <w:rFonts w:cs="Arial"/>
          <w:b/>
          <w:sz w:val="22"/>
          <w:szCs w:val="22"/>
        </w:rPr>
        <w:t>d’origine diverse.</w:t>
      </w:r>
    </w:p>
    <w:p w:rsidR="00936DFB" w:rsidRDefault="00541776" w:rsidP="005E75C6">
      <w:pPr>
        <w:autoSpaceDE w:val="0"/>
        <w:autoSpaceDN w:val="0"/>
        <w:adjustRightInd w:val="0"/>
        <w:spacing w:after="120"/>
        <w:ind w:left="1656"/>
      </w:pPr>
      <w:r>
        <w:rPr>
          <w:rFonts w:cs="Arial"/>
          <w:b/>
          <w:sz w:val="22"/>
          <w:szCs w:val="22"/>
        </w:rPr>
        <w:t xml:space="preserve">      </w:t>
      </w:r>
      <w:r w:rsidR="00936DFB">
        <w:rPr>
          <w:rFonts w:cs="Arial"/>
          <w:b/>
          <w:sz w:val="22"/>
          <w:szCs w:val="22"/>
        </w:rPr>
        <w:t>Enfin, la composition du futur conseil de gestion dudit fonds devrait être tripartite (Etat, branches professionnelles, associations de défense des droits des personnes en situation de handicap).</w:t>
      </w:r>
    </w:p>
    <w:p w:rsidR="00A44FBF" w:rsidRDefault="00A44FBF" w:rsidP="00A44FBF">
      <w:pPr>
        <w:pStyle w:val="Paragraphedeliste"/>
      </w:pPr>
    </w:p>
    <w:p w:rsidR="00A44FBF" w:rsidRPr="001A3A4D" w:rsidRDefault="00A44FBF" w:rsidP="001A3A4D">
      <w:pPr>
        <w:pStyle w:val="Paragraphedeliste"/>
        <w:numPr>
          <w:ilvl w:val="0"/>
          <w:numId w:val="1"/>
        </w:numPr>
        <w:autoSpaceDE w:val="0"/>
        <w:autoSpaceDN w:val="0"/>
        <w:adjustRightInd w:val="0"/>
        <w:spacing w:after="120"/>
        <w:rPr>
          <w:b/>
        </w:rPr>
      </w:pPr>
      <w:r w:rsidRPr="001A3A4D">
        <w:rPr>
          <w:b/>
          <w:sz w:val="22"/>
          <w:szCs w:val="22"/>
        </w:rPr>
        <w:t>La possibilité d’accorder un délai supplémentaire pour un gestionnaire d’ERP lorsqu’il n’a pas exéc</w:t>
      </w:r>
      <w:r w:rsidR="004E247D">
        <w:rPr>
          <w:b/>
          <w:sz w:val="22"/>
          <w:szCs w:val="22"/>
        </w:rPr>
        <w:t>uté les engagements de son ADAP.</w:t>
      </w:r>
    </w:p>
    <w:p w:rsidR="00A44FBF" w:rsidRDefault="00A44FBF" w:rsidP="00A44FBF">
      <w:pPr>
        <w:pStyle w:val="Paragraphedeliste"/>
        <w:rPr>
          <w:b/>
        </w:rPr>
      </w:pPr>
    </w:p>
    <w:p w:rsidR="00A44FBF" w:rsidRPr="001A3A4D" w:rsidRDefault="00A44FBF" w:rsidP="001A3A4D">
      <w:pPr>
        <w:pStyle w:val="Paragraphedeliste"/>
        <w:numPr>
          <w:ilvl w:val="0"/>
          <w:numId w:val="1"/>
        </w:numPr>
        <w:autoSpaceDE w:val="0"/>
        <w:autoSpaceDN w:val="0"/>
        <w:adjustRightInd w:val="0"/>
        <w:spacing w:after="120"/>
        <w:rPr>
          <w:sz w:val="22"/>
          <w:szCs w:val="22"/>
        </w:rPr>
      </w:pPr>
      <w:r w:rsidRPr="001A3A4D">
        <w:rPr>
          <w:b/>
          <w:sz w:val="22"/>
          <w:szCs w:val="22"/>
        </w:rPr>
        <w:t>La suppression injustifiable de l’obligation faîte à un ERP existant de respecter les obligations réglementaires du neuf lorsque celui effectue des travaux</w:t>
      </w:r>
      <w:r w:rsidRPr="001A3A4D">
        <w:rPr>
          <w:sz w:val="22"/>
          <w:szCs w:val="22"/>
        </w:rPr>
        <w:t>.</w:t>
      </w:r>
    </w:p>
    <w:p w:rsidR="00032C65" w:rsidRDefault="00032C65" w:rsidP="00032C65">
      <w:pPr>
        <w:autoSpaceDE w:val="0"/>
        <w:autoSpaceDN w:val="0"/>
        <w:adjustRightInd w:val="0"/>
        <w:spacing w:after="120"/>
        <w:ind w:left="1418" w:firstLine="0"/>
        <w:rPr>
          <w:sz w:val="22"/>
          <w:szCs w:val="22"/>
        </w:rPr>
      </w:pPr>
    </w:p>
    <w:p w:rsidR="00A44FBF" w:rsidRDefault="00A44FBF" w:rsidP="00032C65">
      <w:pPr>
        <w:autoSpaceDE w:val="0"/>
        <w:autoSpaceDN w:val="0"/>
        <w:adjustRightInd w:val="0"/>
        <w:spacing w:after="120"/>
        <w:ind w:left="0" w:firstLine="0"/>
        <w:rPr>
          <w:sz w:val="22"/>
          <w:szCs w:val="22"/>
        </w:rPr>
      </w:pPr>
      <w:r>
        <w:rPr>
          <w:sz w:val="22"/>
          <w:szCs w:val="22"/>
        </w:rPr>
        <w:t xml:space="preserve">Alors </w:t>
      </w:r>
      <w:r w:rsidRPr="00BB75A7">
        <w:rPr>
          <w:sz w:val="22"/>
          <w:szCs w:val="22"/>
        </w:rPr>
        <w:t>que les pouvoirs publics nous parle</w:t>
      </w:r>
      <w:r>
        <w:rPr>
          <w:sz w:val="22"/>
          <w:szCs w:val="22"/>
        </w:rPr>
        <w:t>nt</w:t>
      </w:r>
      <w:r w:rsidRPr="00BB75A7">
        <w:rPr>
          <w:sz w:val="22"/>
          <w:szCs w:val="22"/>
        </w:rPr>
        <w:t xml:space="preserve"> de confiance, l</w:t>
      </w:r>
      <w:r w:rsidR="002264B5">
        <w:rPr>
          <w:sz w:val="22"/>
          <w:szCs w:val="22"/>
        </w:rPr>
        <w:t>e CNCPH</w:t>
      </w:r>
      <w:r>
        <w:rPr>
          <w:sz w:val="22"/>
          <w:szCs w:val="22"/>
        </w:rPr>
        <w:t xml:space="preserve"> réitère son constat d’une société inaccessible malgré 2 lois inappliquées en 40 ans, donc la souplesse n’est plus de mise ! </w:t>
      </w:r>
    </w:p>
    <w:p w:rsidR="00A44FBF" w:rsidRDefault="00A44FBF" w:rsidP="00A44FBF">
      <w:pPr>
        <w:autoSpaceDE w:val="0"/>
        <w:autoSpaceDN w:val="0"/>
        <w:adjustRightInd w:val="0"/>
        <w:spacing w:after="120"/>
        <w:ind w:left="936"/>
        <w:rPr>
          <w:sz w:val="22"/>
          <w:szCs w:val="22"/>
        </w:rPr>
      </w:pPr>
    </w:p>
    <w:p w:rsidR="00A44FBF" w:rsidRPr="007F5EAB" w:rsidRDefault="00A44FBF" w:rsidP="001A3A4D">
      <w:pPr>
        <w:autoSpaceDE w:val="0"/>
        <w:autoSpaceDN w:val="0"/>
        <w:adjustRightInd w:val="0"/>
        <w:spacing w:after="120"/>
        <w:ind w:firstLine="708"/>
        <w:rPr>
          <w:sz w:val="22"/>
          <w:szCs w:val="22"/>
        </w:rPr>
      </w:pPr>
      <w:r w:rsidRPr="007F5EAB">
        <w:rPr>
          <w:sz w:val="22"/>
          <w:szCs w:val="22"/>
          <w:u w:val="single"/>
        </w:rPr>
        <w:t xml:space="preserve"> </w:t>
      </w:r>
      <w:r w:rsidR="00BE657B" w:rsidRPr="007F5EAB">
        <w:rPr>
          <w:sz w:val="22"/>
          <w:szCs w:val="22"/>
          <w:u w:val="single"/>
        </w:rPr>
        <w:t>4</w:t>
      </w:r>
      <w:r w:rsidRPr="007F5EAB">
        <w:rPr>
          <w:sz w:val="22"/>
          <w:szCs w:val="22"/>
          <w:u w:val="single"/>
        </w:rPr>
        <w:t>- La surexposition des « difficultés financières » s’avère insupportable au regard</w:t>
      </w:r>
      <w:r w:rsidRPr="007F5EAB">
        <w:rPr>
          <w:sz w:val="22"/>
          <w:szCs w:val="22"/>
        </w:rPr>
        <w:t> :</w:t>
      </w:r>
    </w:p>
    <w:p w:rsidR="00A44FBF" w:rsidRPr="008020F1" w:rsidRDefault="00A44FBF" w:rsidP="00A44FBF">
      <w:pPr>
        <w:autoSpaceDE w:val="0"/>
        <w:autoSpaceDN w:val="0"/>
        <w:adjustRightInd w:val="0"/>
        <w:spacing w:after="120"/>
        <w:ind w:left="936"/>
        <w:rPr>
          <w:sz w:val="22"/>
          <w:szCs w:val="22"/>
        </w:rPr>
      </w:pPr>
    </w:p>
    <w:p w:rsidR="00A44FBF" w:rsidRDefault="00A44FBF" w:rsidP="007F5EAB">
      <w:pPr>
        <w:pStyle w:val="Paragraphedeliste"/>
        <w:numPr>
          <w:ilvl w:val="0"/>
          <w:numId w:val="1"/>
        </w:numPr>
        <w:autoSpaceDE w:val="0"/>
        <w:autoSpaceDN w:val="0"/>
        <w:adjustRightInd w:val="0"/>
        <w:spacing w:after="120"/>
      </w:pPr>
      <w:r w:rsidRPr="007F5EAB">
        <w:rPr>
          <w:b/>
          <w:sz w:val="22"/>
          <w:szCs w:val="22"/>
        </w:rPr>
        <w:t>d’une part, de la possibilité e</w:t>
      </w:r>
      <w:r w:rsidR="009119D5" w:rsidRPr="007F5EAB">
        <w:rPr>
          <w:b/>
          <w:sz w:val="22"/>
          <w:szCs w:val="22"/>
        </w:rPr>
        <w:t>ntérinée initialement par la réglementation</w:t>
      </w:r>
      <w:r w:rsidRPr="007F5EAB">
        <w:rPr>
          <w:b/>
          <w:sz w:val="22"/>
          <w:szCs w:val="22"/>
        </w:rPr>
        <w:t xml:space="preserve"> de tenir compte des capacités d’investissement</w:t>
      </w:r>
      <w:r w:rsidRPr="007F5EAB">
        <w:rPr>
          <w:sz w:val="22"/>
          <w:szCs w:val="22"/>
        </w:rPr>
        <w:t xml:space="preserve">  (Cf. Voir Documents « Regards croisés » de la Délégation Ministérielle à l’Accessibilité</w:t>
      </w:r>
      <w:r w:rsidR="00087830">
        <w:rPr>
          <w:sz w:val="22"/>
          <w:szCs w:val="22"/>
        </w:rPr>
        <w:t>, et à double en-tête des Ministères du Développement durable, et de celui du Logement et de l’Egalité des territoires</w:t>
      </w:r>
      <w:r w:rsidRPr="007F5EAB">
        <w:rPr>
          <w:sz w:val="22"/>
          <w:szCs w:val="22"/>
        </w:rPr>
        <w:t xml:space="preserve"> : </w:t>
      </w:r>
      <w:hyperlink r:id="rId9" w:history="1">
        <w:r w:rsidRPr="007F5EAB">
          <w:rPr>
            <w:rStyle w:val="Lienhypertexte"/>
            <w:sz w:val="22"/>
            <w:szCs w:val="22"/>
          </w:rPr>
          <w:t>www.accessibilite.gouv.fr</w:t>
        </w:r>
      </w:hyperlink>
      <w:r>
        <w:t xml:space="preserve"> ). </w:t>
      </w:r>
    </w:p>
    <w:p w:rsidR="00A44FBF" w:rsidRDefault="00541776" w:rsidP="007F5EAB">
      <w:pPr>
        <w:autoSpaceDE w:val="0"/>
        <w:autoSpaceDN w:val="0"/>
        <w:adjustRightInd w:val="0"/>
        <w:spacing w:after="120"/>
        <w:ind w:left="1776"/>
        <w:rPr>
          <w:sz w:val="22"/>
          <w:szCs w:val="22"/>
        </w:rPr>
      </w:pPr>
      <w:r>
        <w:rPr>
          <w:b/>
          <w:sz w:val="22"/>
          <w:szCs w:val="22"/>
        </w:rPr>
        <w:t xml:space="preserve">     </w:t>
      </w:r>
      <w:r w:rsidR="00A44FBF" w:rsidRPr="00BB75A7">
        <w:rPr>
          <w:b/>
          <w:sz w:val="22"/>
          <w:szCs w:val="22"/>
        </w:rPr>
        <w:t>Monsieur le député Christophe Sirugue</w:t>
      </w:r>
      <w:r w:rsidR="00A44FBF">
        <w:rPr>
          <w:b/>
          <w:sz w:val="22"/>
          <w:szCs w:val="22"/>
        </w:rPr>
        <w:t>, rapporteur du projet de loi d’habilitation,</w:t>
      </w:r>
      <w:r w:rsidR="00A44FBF" w:rsidRPr="00BB75A7">
        <w:rPr>
          <w:b/>
          <w:sz w:val="22"/>
          <w:szCs w:val="22"/>
        </w:rPr>
        <w:t xml:space="preserve"> a également rappelé la nécessité de pouvoir établir deux scenarios de mise en accessibilité selon les capacités d’investissement d’un gestionnaire d’ERP</w:t>
      </w:r>
      <w:r w:rsidR="00A44FBF" w:rsidRPr="00BB75A7">
        <w:rPr>
          <w:sz w:val="22"/>
          <w:szCs w:val="22"/>
        </w:rPr>
        <w:t xml:space="preserve">, ce qui permet un équilibre en prévoyant de manière justifiée une accessibilité « partielle ». </w:t>
      </w:r>
    </w:p>
    <w:p w:rsidR="00A44FBF" w:rsidRPr="00BB75A7" w:rsidRDefault="00541776" w:rsidP="007F5EAB">
      <w:pPr>
        <w:autoSpaceDE w:val="0"/>
        <w:autoSpaceDN w:val="0"/>
        <w:adjustRightInd w:val="0"/>
        <w:spacing w:after="120"/>
        <w:ind w:left="1776"/>
        <w:rPr>
          <w:sz w:val="22"/>
          <w:szCs w:val="22"/>
        </w:rPr>
      </w:pPr>
      <w:r>
        <w:rPr>
          <w:sz w:val="22"/>
          <w:szCs w:val="22"/>
        </w:rPr>
        <w:t xml:space="preserve">     </w:t>
      </w:r>
      <w:r w:rsidR="00A44FBF" w:rsidRPr="00BB75A7">
        <w:rPr>
          <w:sz w:val="22"/>
          <w:szCs w:val="22"/>
        </w:rPr>
        <w:t>Or, le projet d’Ordonnance expose un système reposant sur le « tout ou rien », ce qui est inéquitable tout en constituant un profond recul des travaux initiés par la Délégation ministérielle à l’accessibilité.</w:t>
      </w:r>
    </w:p>
    <w:p w:rsidR="00264EC0" w:rsidRDefault="00264EC0" w:rsidP="00264EC0">
      <w:pPr>
        <w:pStyle w:val="Paragraphedeliste"/>
        <w:autoSpaceDE w:val="0"/>
        <w:autoSpaceDN w:val="0"/>
        <w:adjustRightInd w:val="0"/>
        <w:spacing w:after="120"/>
        <w:ind w:left="1776"/>
        <w:rPr>
          <w:sz w:val="22"/>
          <w:szCs w:val="22"/>
        </w:rPr>
      </w:pPr>
    </w:p>
    <w:p w:rsidR="00A44FBF" w:rsidRPr="007F5EAB" w:rsidRDefault="00A44FBF" w:rsidP="007F5EAB">
      <w:pPr>
        <w:pStyle w:val="Paragraphedeliste"/>
        <w:numPr>
          <w:ilvl w:val="0"/>
          <w:numId w:val="1"/>
        </w:numPr>
        <w:autoSpaceDE w:val="0"/>
        <w:autoSpaceDN w:val="0"/>
        <w:adjustRightInd w:val="0"/>
        <w:spacing w:after="120"/>
        <w:rPr>
          <w:sz w:val="22"/>
          <w:szCs w:val="22"/>
        </w:rPr>
      </w:pPr>
      <w:r w:rsidRPr="007F5EAB">
        <w:rPr>
          <w:b/>
          <w:sz w:val="22"/>
          <w:szCs w:val="22"/>
        </w:rPr>
        <w:t>et d’autre part de ne pas obliger à prouver la demande d’obtention d’aides ou de prêts</w:t>
      </w:r>
      <w:r w:rsidRPr="007F5EAB">
        <w:rPr>
          <w:sz w:val="22"/>
          <w:szCs w:val="22"/>
        </w:rPr>
        <w:t xml:space="preserve"> à taux bonifiés </w:t>
      </w:r>
      <w:r w:rsidRPr="007F5EAB">
        <w:rPr>
          <w:i/>
          <w:sz w:val="22"/>
          <w:szCs w:val="22"/>
        </w:rPr>
        <w:t xml:space="preserve">via </w:t>
      </w:r>
      <w:r w:rsidRPr="007F5EAB">
        <w:rPr>
          <w:sz w:val="22"/>
          <w:szCs w:val="22"/>
        </w:rPr>
        <w:t>la CDC (Caisse des Dépôts et Consignations ; 18 milliards d’euros à disposition) ou la BPI (Banque Publique d’Investissement), ou encore d’autres dispositifs (Accord Banque populaire – CAPEB, les fonds structurels européens, ou des aides extra-légales comme avec les municipalités entre autres de Nantes, Grenoble, etc.).</w:t>
      </w:r>
    </w:p>
    <w:p w:rsidR="00A44FBF" w:rsidRDefault="00A44FBF" w:rsidP="00A44FBF">
      <w:pPr>
        <w:autoSpaceDE w:val="0"/>
        <w:autoSpaceDN w:val="0"/>
        <w:adjustRightInd w:val="0"/>
        <w:spacing w:after="120"/>
        <w:rPr>
          <w:sz w:val="22"/>
          <w:szCs w:val="22"/>
        </w:rPr>
      </w:pPr>
    </w:p>
    <w:p w:rsidR="004F4063" w:rsidRDefault="004F4063" w:rsidP="00A44FBF">
      <w:pPr>
        <w:autoSpaceDE w:val="0"/>
        <w:autoSpaceDN w:val="0"/>
        <w:adjustRightInd w:val="0"/>
        <w:spacing w:after="120"/>
        <w:rPr>
          <w:sz w:val="22"/>
          <w:szCs w:val="22"/>
        </w:rPr>
      </w:pPr>
    </w:p>
    <w:p w:rsidR="00A44FBF" w:rsidRDefault="007F5EAB" w:rsidP="007F5EAB">
      <w:pPr>
        <w:autoSpaceDE w:val="0"/>
        <w:autoSpaceDN w:val="0"/>
        <w:adjustRightInd w:val="0"/>
        <w:spacing w:after="120"/>
        <w:ind w:firstLine="708"/>
        <w:rPr>
          <w:sz w:val="22"/>
          <w:szCs w:val="22"/>
        </w:rPr>
      </w:pPr>
      <w:r w:rsidRPr="007F5EAB">
        <w:rPr>
          <w:sz w:val="22"/>
          <w:szCs w:val="22"/>
          <w:u w:val="single"/>
        </w:rPr>
        <w:lastRenderedPageBreak/>
        <w:t>5</w:t>
      </w:r>
      <w:r w:rsidR="00A44FBF" w:rsidRPr="007F5EAB">
        <w:rPr>
          <w:sz w:val="22"/>
          <w:szCs w:val="22"/>
          <w:u w:val="single"/>
        </w:rPr>
        <w:t xml:space="preserve"> - Le grave recul de l’objectif initial de la loi du 11 février 2005 dans le domaine des transports</w:t>
      </w:r>
      <w:r w:rsidR="00A44FBF" w:rsidRPr="00393D45">
        <w:rPr>
          <w:sz w:val="22"/>
          <w:szCs w:val="22"/>
        </w:rPr>
        <w:t> :</w:t>
      </w:r>
    </w:p>
    <w:p w:rsidR="00A44FBF" w:rsidRDefault="00A44FBF" w:rsidP="00A44FBF">
      <w:pPr>
        <w:autoSpaceDE w:val="0"/>
        <w:autoSpaceDN w:val="0"/>
        <w:adjustRightInd w:val="0"/>
        <w:spacing w:after="120"/>
        <w:ind w:left="936"/>
        <w:rPr>
          <w:sz w:val="22"/>
          <w:szCs w:val="22"/>
        </w:rPr>
      </w:pPr>
    </w:p>
    <w:p w:rsidR="00A44FBF" w:rsidRPr="007F5EAB" w:rsidRDefault="00A44FBF" w:rsidP="007F5EAB">
      <w:pPr>
        <w:pStyle w:val="Paragraphedeliste"/>
        <w:numPr>
          <w:ilvl w:val="0"/>
          <w:numId w:val="1"/>
        </w:numPr>
        <w:autoSpaceDE w:val="0"/>
        <w:autoSpaceDN w:val="0"/>
        <w:adjustRightInd w:val="0"/>
        <w:spacing w:after="120"/>
        <w:rPr>
          <w:sz w:val="22"/>
          <w:szCs w:val="22"/>
        </w:rPr>
      </w:pPr>
      <w:r w:rsidRPr="007F5EAB">
        <w:rPr>
          <w:b/>
          <w:sz w:val="22"/>
          <w:szCs w:val="22"/>
        </w:rPr>
        <w:t>Les absences d’obligation de dépôt d’ADAP, et de sanctions</w:t>
      </w:r>
      <w:r w:rsidRPr="007F5EAB">
        <w:rPr>
          <w:b/>
        </w:rPr>
        <w:t xml:space="preserve"> </w:t>
      </w:r>
      <w:r w:rsidRPr="007F5EAB">
        <w:rPr>
          <w:b/>
          <w:sz w:val="22"/>
          <w:szCs w:val="22"/>
        </w:rPr>
        <w:t>réellement dissuasives pour inexécution des ADAP pour les AOT</w:t>
      </w:r>
      <w:r w:rsidR="004F4063">
        <w:rPr>
          <w:sz w:val="22"/>
          <w:szCs w:val="22"/>
        </w:rPr>
        <w:t xml:space="preserve"> (a</w:t>
      </w:r>
      <w:r w:rsidRPr="007F5EAB">
        <w:rPr>
          <w:sz w:val="22"/>
          <w:szCs w:val="22"/>
        </w:rPr>
        <w:t>utorités organisatrices de transport),</w:t>
      </w:r>
    </w:p>
    <w:p w:rsidR="00A44FBF" w:rsidRPr="00E8380E" w:rsidRDefault="00A44FBF" w:rsidP="007F5EAB">
      <w:pPr>
        <w:autoSpaceDE w:val="0"/>
        <w:autoSpaceDN w:val="0"/>
        <w:adjustRightInd w:val="0"/>
        <w:spacing w:after="120"/>
        <w:ind w:left="1776"/>
        <w:rPr>
          <w:sz w:val="22"/>
          <w:szCs w:val="22"/>
        </w:rPr>
      </w:pPr>
    </w:p>
    <w:p w:rsidR="00541776" w:rsidRPr="00032C65" w:rsidRDefault="00A44FBF" w:rsidP="00541776">
      <w:pPr>
        <w:pStyle w:val="Paragraphedeliste"/>
        <w:numPr>
          <w:ilvl w:val="0"/>
          <w:numId w:val="1"/>
        </w:numPr>
        <w:autoSpaceDE w:val="0"/>
        <w:autoSpaceDN w:val="0"/>
        <w:adjustRightInd w:val="0"/>
        <w:spacing w:after="120"/>
        <w:rPr>
          <w:sz w:val="22"/>
          <w:szCs w:val="22"/>
        </w:rPr>
      </w:pPr>
      <w:r w:rsidRPr="00032C65">
        <w:rPr>
          <w:b/>
          <w:sz w:val="22"/>
          <w:szCs w:val="22"/>
        </w:rPr>
        <w:t xml:space="preserve">L’enterrement </w:t>
      </w:r>
      <w:r w:rsidR="00E37DE5" w:rsidRPr="00032C65">
        <w:rPr>
          <w:b/>
          <w:sz w:val="22"/>
          <w:szCs w:val="22"/>
        </w:rPr>
        <w:t>de 1</w:t>
      </w:r>
      <w:r w:rsidR="00E37DE5" w:rsidRPr="00032C65">
        <w:rPr>
          <w:b/>
          <w:sz w:val="22"/>
          <w:szCs w:val="22"/>
          <w:vertAlign w:val="superscript"/>
        </w:rPr>
        <w:t>ère</w:t>
      </w:r>
      <w:r w:rsidR="00E37DE5" w:rsidRPr="00032C65">
        <w:rPr>
          <w:b/>
          <w:sz w:val="22"/>
          <w:szCs w:val="22"/>
        </w:rPr>
        <w:t xml:space="preserve"> classe </w:t>
      </w:r>
      <w:r w:rsidRPr="00032C65">
        <w:rPr>
          <w:b/>
          <w:sz w:val="22"/>
          <w:szCs w:val="22"/>
        </w:rPr>
        <w:t>des objectifs initiaux de la loi du 11 février 2005</w:t>
      </w:r>
      <w:r w:rsidRPr="00032C65">
        <w:rPr>
          <w:b/>
        </w:rPr>
        <w:t xml:space="preserve"> </w:t>
      </w:r>
      <w:r w:rsidRPr="00032C65">
        <w:rPr>
          <w:b/>
          <w:sz w:val="22"/>
          <w:szCs w:val="22"/>
        </w:rPr>
        <w:t>en prévoyant que tous les points d’arrêts d’un service public de transport, ne seront pas rendus obligatoirement accessibles</w:t>
      </w:r>
      <w:r w:rsidRPr="00032C65">
        <w:rPr>
          <w:sz w:val="22"/>
          <w:szCs w:val="22"/>
        </w:rPr>
        <w:t xml:space="preserve"> (sauf impossibilité technique avérée).</w:t>
      </w:r>
    </w:p>
    <w:p w:rsidR="00A44FBF" w:rsidRDefault="00541776" w:rsidP="007F5EAB">
      <w:pPr>
        <w:autoSpaceDE w:val="0"/>
        <w:autoSpaceDN w:val="0"/>
        <w:adjustRightInd w:val="0"/>
        <w:spacing w:after="120"/>
        <w:ind w:left="1776"/>
        <w:rPr>
          <w:sz w:val="22"/>
          <w:szCs w:val="22"/>
        </w:rPr>
      </w:pPr>
      <w:r>
        <w:rPr>
          <w:sz w:val="22"/>
          <w:szCs w:val="22"/>
        </w:rPr>
        <w:t xml:space="preserve">     </w:t>
      </w:r>
      <w:r w:rsidR="00A44FBF">
        <w:rPr>
          <w:sz w:val="22"/>
          <w:szCs w:val="22"/>
        </w:rPr>
        <w:t xml:space="preserve">Une nouvelle fois, </w:t>
      </w:r>
      <w:r w:rsidR="00A44FBF" w:rsidRPr="009926B9">
        <w:rPr>
          <w:b/>
          <w:sz w:val="22"/>
          <w:szCs w:val="22"/>
        </w:rPr>
        <w:t>cette disposition ne respecte en rien les discussions des soi-disantes réunions de « concertation »,</w:t>
      </w:r>
      <w:r w:rsidR="00A44FBF">
        <w:rPr>
          <w:sz w:val="22"/>
          <w:szCs w:val="22"/>
        </w:rPr>
        <w:t xml:space="preserve"> au cours desquelles il fut question de dresser une méthodologie des points d’arrêts à rendre accessibles prioritairement, et non à exonérer indûment des AOT de leur obligation ! </w:t>
      </w:r>
    </w:p>
    <w:p w:rsidR="00E37DE5" w:rsidRDefault="00541776" w:rsidP="007F5EAB">
      <w:pPr>
        <w:autoSpaceDE w:val="0"/>
        <w:autoSpaceDN w:val="0"/>
        <w:adjustRightInd w:val="0"/>
        <w:spacing w:after="120"/>
        <w:ind w:left="1776"/>
        <w:rPr>
          <w:sz w:val="22"/>
          <w:szCs w:val="22"/>
        </w:rPr>
      </w:pPr>
      <w:r>
        <w:rPr>
          <w:sz w:val="22"/>
          <w:szCs w:val="22"/>
        </w:rPr>
        <w:t xml:space="preserve">      </w:t>
      </w:r>
      <w:r w:rsidR="00E37DE5">
        <w:rPr>
          <w:sz w:val="22"/>
          <w:szCs w:val="22"/>
        </w:rPr>
        <w:t xml:space="preserve">En outre, ce dispositif génère comme conséquence que des points d’arrêts considérés comme « non-prioritaires », ne pourront même pas bénéficier d’aménagements simples nécessaires </w:t>
      </w:r>
      <w:r w:rsidR="00860DFE">
        <w:rPr>
          <w:sz w:val="22"/>
          <w:szCs w:val="22"/>
        </w:rPr>
        <w:t xml:space="preserve">aux </w:t>
      </w:r>
      <w:r w:rsidR="00FF238B">
        <w:rPr>
          <w:sz w:val="22"/>
          <w:szCs w:val="22"/>
        </w:rPr>
        <w:t>autres</w:t>
      </w:r>
      <w:r w:rsidR="00E37DE5">
        <w:rPr>
          <w:sz w:val="22"/>
          <w:szCs w:val="22"/>
        </w:rPr>
        <w:t xml:space="preserve"> types de déficience.</w:t>
      </w:r>
    </w:p>
    <w:p w:rsidR="00A44FBF" w:rsidRDefault="00541776" w:rsidP="007F5EAB">
      <w:pPr>
        <w:autoSpaceDE w:val="0"/>
        <w:autoSpaceDN w:val="0"/>
        <w:adjustRightInd w:val="0"/>
        <w:spacing w:after="120"/>
        <w:ind w:left="1776"/>
      </w:pPr>
      <w:r>
        <w:rPr>
          <w:sz w:val="22"/>
          <w:szCs w:val="22"/>
        </w:rPr>
        <w:t xml:space="preserve">      </w:t>
      </w:r>
      <w:r w:rsidR="00A44FBF">
        <w:rPr>
          <w:sz w:val="22"/>
          <w:szCs w:val="22"/>
        </w:rPr>
        <w:t>Il s’agit d’un gravissime recul par rapport aux objectifs initiaux de la loi du 11 février 2005 !</w:t>
      </w:r>
    </w:p>
    <w:p w:rsidR="00A44FBF" w:rsidRDefault="00A44FBF" w:rsidP="00A44FBF">
      <w:pPr>
        <w:autoSpaceDE w:val="0"/>
        <w:autoSpaceDN w:val="0"/>
        <w:adjustRightInd w:val="0"/>
        <w:spacing w:after="120"/>
        <w:ind w:left="1656"/>
        <w:rPr>
          <w:sz w:val="22"/>
          <w:szCs w:val="22"/>
        </w:rPr>
      </w:pPr>
    </w:p>
    <w:p w:rsidR="00A44FBF" w:rsidRPr="007F5EAB" w:rsidRDefault="00A44FBF" w:rsidP="007F5EAB">
      <w:pPr>
        <w:pStyle w:val="Paragraphedeliste"/>
        <w:numPr>
          <w:ilvl w:val="0"/>
          <w:numId w:val="1"/>
        </w:numPr>
        <w:autoSpaceDE w:val="0"/>
        <w:autoSpaceDN w:val="0"/>
        <w:adjustRightInd w:val="0"/>
        <w:spacing w:after="120"/>
        <w:rPr>
          <w:sz w:val="22"/>
          <w:szCs w:val="22"/>
        </w:rPr>
      </w:pPr>
      <w:r w:rsidRPr="007F5EAB">
        <w:rPr>
          <w:b/>
          <w:sz w:val="22"/>
          <w:szCs w:val="22"/>
        </w:rPr>
        <w:t xml:space="preserve">Il faudra </w:t>
      </w:r>
      <w:r w:rsidRPr="007F5EAB">
        <w:rPr>
          <w:b/>
          <w:i/>
          <w:sz w:val="22"/>
          <w:szCs w:val="22"/>
        </w:rPr>
        <w:t xml:space="preserve">a minima </w:t>
      </w:r>
      <w:r w:rsidRPr="007F5EAB">
        <w:rPr>
          <w:b/>
          <w:sz w:val="22"/>
          <w:szCs w:val="22"/>
        </w:rPr>
        <w:t>attendre juillet 2018, voire beaucoup plus</w:t>
      </w:r>
      <w:r w:rsidRPr="007F5EAB">
        <w:rPr>
          <w:sz w:val="22"/>
          <w:szCs w:val="22"/>
        </w:rPr>
        <w:t xml:space="preserve"> (compte tenu de la possibilité de reporter </w:t>
      </w:r>
      <w:r w:rsidRPr="007F5EAB">
        <w:rPr>
          <w:i/>
          <w:sz w:val="22"/>
          <w:szCs w:val="22"/>
        </w:rPr>
        <w:t>sine die</w:t>
      </w:r>
      <w:r w:rsidRPr="007F5EAB">
        <w:rPr>
          <w:sz w:val="22"/>
          <w:szCs w:val="22"/>
        </w:rPr>
        <w:t xml:space="preserve"> un dépôt d’ADAP), </w:t>
      </w:r>
      <w:r w:rsidRPr="007F5EAB">
        <w:rPr>
          <w:b/>
          <w:sz w:val="22"/>
          <w:szCs w:val="22"/>
        </w:rPr>
        <w:t>la mise en place d’un service de substitution</w:t>
      </w:r>
      <w:r w:rsidRPr="007F5EAB">
        <w:rPr>
          <w:sz w:val="22"/>
          <w:szCs w:val="22"/>
        </w:rPr>
        <w:t xml:space="preserve"> pour les points d’arrêts considérés comme non-prioritaires ; et ce </w:t>
      </w:r>
      <w:r w:rsidRPr="007F5EAB">
        <w:rPr>
          <w:b/>
          <w:sz w:val="22"/>
          <w:szCs w:val="22"/>
        </w:rPr>
        <w:t>alors que l’obligation de mise en place d’un tel service date initialement de Février 2008…</w:t>
      </w:r>
    </w:p>
    <w:p w:rsidR="00A44FBF" w:rsidRDefault="00541776" w:rsidP="00BE2B4A">
      <w:pPr>
        <w:autoSpaceDE w:val="0"/>
        <w:autoSpaceDN w:val="0"/>
        <w:adjustRightInd w:val="0"/>
        <w:rPr>
          <w:sz w:val="22"/>
          <w:szCs w:val="22"/>
        </w:rPr>
      </w:pPr>
      <w:r>
        <w:rPr>
          <w:sz w:val="22"/>
          <w:szCs w:val="22"/>
        </w:rPr>
        <w:t xml:space="preserve">      </w:t>
      </w:r>
      <w:r w:rsidR="00A44FBF">
        <w:rPr>
          <w:sz w:val="22"/>
          <w:szCs w:val="22"/>
        </w:rPr>
        <w:t>Et ce, d’autant plus qu’est ignorée la date de départ faisant courir l’inacceptable délai de 3 ans pour la mise en place d’un service de substitution…</w:t>
      </w:r>
    </w:p>
    <w:p w:rsidR="004F4063" w:rsidRDefault="004F4063" w:rsidP="00BE2B4A">
      <w:pPr>
        <w:autoSpaceDE w:val="0"/>
        <w:autoSpaceDN w:val="0"/>
        <w:adjustRightInd w:val="0"/>
        <w:rPr>
          <w:sz w:val="22"/>
          <w:szCs w:val="22"/>
        </w:rPr>
      </w:pPr>
    </w:p>
    <w:p w:rsidR="00BE2B4A" w:rsidRDefault="00BE2B4A" w:rsidP="00BE2B4A">
      <w:pPr>
        <w:autoSpaceDE w:val="0"/>
        <w:autoSpaceDN w:val="0"/>
        <w:adjustRightInd w:val="0"/>
        <w:rPr>
          <w:sz w:val="22"/>
          <w:szCs w:val="22"/>
        </w:rPr>
      </w:pPr>
      <w:r>
        <w:rPr>
          <w:sz w:val="22"/>
          <w:szCs w:val="22"/>
        </w:rPr>
        <w:t xml:space="preserve">      Toutefois, le CNCPH prend acte que le Secrétariat d’Etat aux personnes handicapées a annoncé lors de la présente séance, que le délai de mise en place d’un service de substitution serait avancé à 18 mois dans le projet d’Ordonnance.</w:t>
      </w:r>
    </w:p>
    <w:p w:rsidR="00BE2B4A" w:rsidRDefault="004F4063" w:rsidP="004F4063">
      <w:pPr>
        <w:autoSpaceDE w:val="0"/>
        <w:autoSpaceDN w:val="0"/>
        <w:adjustRightInd w:val="0"/>
        <w:rPr>
          <w:sz w:val="22"/>
          <w:szCs w:val="22"/>
        </w:rPr>
      </w:pPr>
      <w:r>
        <w:rPr>
          <w:sz w:val="22"/>
          <w:szCs w:val="22"/>
        </w:rPr>
        <w:t xml:space="preserve">    </w:t>
      </w:r>
      <w:r w:rsidR="00BE2B4A">
        <w:rPr>
          <w:sz w:val="22"/>
          <w:szCs w:val="22"/>
        </w:rPr>
        <w:t xml:space="preserve">  Tout en notant l’intérêt de cette avancée, cela ne modifie pas l’analyse selon laquelle l’obligation initiale d’un tel service de substitution datait de février 2008.</w:t>
      </w:r>
    </w:p>
    <w:p w:rsidR="00264EC0" w:rsidRDefault="00095002" w:rsidP="00A44FBF">
      <w:pPr>
        <w:autoSpaceDE w:val="0"/>
        <w:autoSpaceDN w:val="0"/>
        <w:adjustRightInd w:val="0"/>
        <w:spacing w:after="120"/>
        <w:ind w:left="936"/>
      </w:pPr>
      <w:r>
        <w:t xml:space="preserve">                       </w:t>
      </w:r>
    </w:p>
    <w:p w:rsidR="00A44FBF" w:rsidRPr="00E8380E" w:rsidRDefault="00A44FBF" w:rsidP="00A44FBF">
      <w:pPr>
        <w:autoSpaceDE w:val="0"/>
        <w:autoSpaceDN w:val="0"/>
        <w:adjustRightInd w:val="0"/>
        <w:spacing w:after="120"/>
        <w:ind w:left="936"/>
        <w:rPr>
          <w:sz w:val="22"/>
          <w:szCs w:val="22"/>
        </w:rPr>
      </w:pPr>
    </w:p>
    <w:p w:rsidR="00A44FBF" w:rsidRPr="00C70001" w:rsidRDefault="00C70001" w:rsidP="00C70001">
      <w:pPr>
        <w:autoSpaceDE w:val="0"/>
        <w:autoSpaceDN w:val="0"/>
        <w:adjustRightInd w:val="0"/>
        <w:spacing w:after="120"/>
        <w:ind w:firstLine="708"/>
        <w:rPr>
          <w:sz w:val="22"/>
          <w:szCs w:val="22"/>
        </w:rPr>
      </w:pPr>
      <w:r w:rsidRPr="00C70001">
        <w:rPr>
          <w:sz w:val="22"/>
          <w:szCs w:val="22"/>
          <w:u w:val="single"/>
        </w:rPr>
        <w:t>6</w:t>
      </w:r>
      <w:r w:rsidR="00A44FBF" w:rsidRPr="00C70001">
        <w:rPr>
          <w:sz w:val="22"/>
          <w:szCs w:val="22"/>
          <w:u w:val="single"/>
        </w:rPr>
        <w:t xml:space="preserve">- </w:t>
      </w:r>
      <w:r w:rsidR="00677B87" w:rsidRPr="00C70001">
        <w:rPr>
          <w:sz w:val="22"/>
          <w:szCs w:val="22"/>
          <w:u w:val="single"/>
        </w:rPr>
        <w:t xml:space="preserve">La nécessité de dispositifs de formation continue pour les personnels d’ERP, et </w:t>
      </w:r>
      <w:r w:rsidR="00553233" w:rsidRPr="00C70001">
        <w:rPr>
          <w:sz w:val="22"/>
          <w:szCs w:val="22"/>
          <w:u w:val="single"/>
        </w:rPr>
        <w:t>le besoin d’une liste publique des ERP accessibles en zone rurale</w:t>
      </w:r>
    </w:p>
    <w:p w:rsidR="00553233" w:rsidRPr="00553233" w:rsidRDefault="00553233" w:rsidP="00553233">
      <w:pPr>
        <w:autoSpaceDE w:val="0"/>
        <w:autoSpaceDN w:val="0"/>
        <w:adjustRightInd w:val="0"/>
        <w:spacing w:after="120"/>
        <w:ind w:left="1776"/>
        <w:rPr>
          <w:sz w:val="22"/>
          <w:szCs w:val="22"/>
        </w:rPr>
      </w:pPr>
    </w:p>
    <w:p w:rsidR="00032C65" w:rsidRDefault="008A305F" w:rsidP="00032C65">
      <w:pPr>
        <w:pStyle w:val="Paragraphedeliste"/>
        <w:numPr>
          <w:ilvl w:val="0"/>
          <w:numId w:val="1"/>
        </w:numPr>
        <w:autoSpaceDE w:val="0"/>
        <w:autoSpaceDN w:val="0"/>
        <w:adjustRightInd w:val="0"/>
        <w:ind w:left="1775" w:firstLine="0"/>
        <w:rPr>
          <w:sz w:val="22"/>
          <w:szCs w:val="22"/>
        </w:rPr>
      </w:pPr>
      <w:r>
        <w:rPr>
          <w:b/>
          <w:sz w:val="22"/>
          <w:szCs w:val="22"/>
        </w:rPr>
        <w:t>Le CNCPH déplore que l’o</w:t>
      </w:r>
      <w:r w:rsidR="006C541F" w:rsidRPr="00032C65">
        <w:rPr>
          <w:b/>
          <w:sz w:val="22"/>
          <w:szCs w:val="22"/>
        </w:rPr>
        <w:t>rdonnance ne prévoie pas d’obligation de formation des personnels d’ERP en contact avec le public</w:t>
      </w:r>
      <w:r w:rsidR="006C541F" w:rsidRPr="00032C65">
        <w:rPr>
          <w:sz w:val="22"/>
          <w:szCs w:val="22"/>
        </w:rPr>
        <w:t xml:space="preserve">. </w:t>
      </w:r>
    </w:p>
    <w:p w:rsidR="00553233" w:rsidRDefault="006C541F" w:rsidP="00032C65">
      <w:pPr>
        <w:pStyle w:val="Paragraphedeliste"/>
        <w:autoSpaceDE w:val="0"/>
        <w:autoSpaceDN w:val="0"/>
        <w:adjustRightInd w:val="0"/>
        <w:ind w:left="1775" w:firstLine="0"/>
        <w:rPr>
          <w:sz w:val="22"/>
          <w:szCs w:val="22"/>
        </w:rPr>
      </w:pPr>
      <w:r w:rsidRPr="00032C65">
        <w:rPr>
          <w:sz w:val="22"/>
          <w:szCs w:val="22"/>
        </w:rPr>
        <w:lastRenderedPageBreak/>
        <w:t>Il s’interroge en outre sur</w:t>
      </w:r>
      <w:r w:rsidR="004F4063">
        <w:rPr>
          <w:sz w:val="22"/>
          <w:szCs w:val="22"/>
        </w:rPr>
        <w:t xml:space="preserve"> les délais de publication des a</w:t>
      </w:r>
      <w:r w:rsidRPr="00032C65">
        <w:rPr>
          <w:sz w:val="22"/>
          <w:szCs w:val="22"/>
        </w:rPr>
        <w:t>rrêtés désignant la liste des formations initiales devant dispenser des modules en matière de handicap et d’accessibilité,</w:t>
      </w:r>
      <w:r w:rsidR="004F4063">
        <w:rPr>
          <w:sz w:val="22"/>
          <w:szCs w:val="22"/>
        </w:rPr>
        <w:t xml:space="preserve"> tout en réitérant que ces a</w:t>
      </w:r>
      <w:r w:rsidRPr="00032C65">
        <w:rPr>
          <w:sz w:val="22"/>
          <w:szCs w:val="22"/>
        </w:rPr>
        <w:t>rrêtés devront définir une quotité horaire précise.</w:t>
      </w:r>
    </w:p>
    <w:p w:rsidR="004F4063" w:rsidRPr="00032C65" w:rsidRDefault="004F4063" w:rsidP="00032C65">
      <w:pPr>
        <w:pStyle w:val="Paragraphedeliste"/>
        <w:autoSpaceDE w:val="0"/>
        <w:autoSpaceDN w:val="0"/>
        <w:adjustRightInd w:val="0"/>
        <w:ind w:left="1775" w:firstLine="0"/>
        <w:rPr>
          <w:sz w:val="22"/>
          <w:szCs w:val="22"/>
        </w:rPr>
      </w:pPr>
    </w:p>
    <w:p w:rsidR="006C541F" w:rsidRDefault="00541776" w:rsidP="00C70001">
      <w:pPr>
        <w:autoSpaceDE w:val="0"/>
        <w:autoSpaceDN w:val="0"/>
        <w:adjustRightInd w:val="0"/>
        <w:spacing w:after="120"/>
        <w:ind w:left="1776"/>
        <w:rPr>
          <w:sz w:val="22"/>
          <w:szCs w:val="22"/>
        </w:rPr>
      </w:pPr>
      <w:r>
        <w:rPr>
          <w:sz w:val="22"/>
          <w:szCs w:val="22"/>
        </w:rPr>
        <w:t xml:space="preserve">     </w:t>
      </w:r>
      <w:r w:rsidR="006C541F">
        <w:rPr>
          <w:sz w:val="22"/>
          <w:szCs w:val="22"/>
        </w:rPr>
        <w:t xml:space="preserve">Quant au sujet de </w:t>
      </w:r>
      <w:r w:rsidR="004F4063">
        <w:rPr>
          <w:sz w:val="22"/>
          <w:szCs w:val="22"/>
        </w:rPr>
        <w:t>la date de publication de tels a</w:t>
      </w:r>
      <w:r w:rsidR="006C541F">
        <w:rPr>
          <w:sz w:val="22"/>
          <w:szCs w:val="22"/>
        </w:rPr>
        <w:t xml:space="preserve">rrêtés, le CNCPH </w:t>
      </w:r>
      <w:r w:rsidR="0069724E">
        <w:rPr>
          <w:sz w:val="22"/>
          <w:szCs w:val="22"/>
        </w:rPr>
        <w:t>rappelle</w:t>
      </w:r>
      <w:r w:rsidR="006C541F">
        <w:rPr>
          <w:sz w:val="22"/>
          <w:szCs w:val="22"/>
        </w:rPr>
        <w:t xml:space="preserve"> que depuis l’adoption de la loi du 11 février, c’est-à-dire plus de 9 ans, sont attendus la parution d’une demi-douzaine de textes réglementaires, dont celui sur l’accessibilité des locaux de travail…</w:t>
      </w:r>
    </w:p>
    <w:p w:rsidR="006C541F" w:rsidRPr="00553233" w:rsidRDefault="00541776" w:rsidP="000A669E">
      <w:pPr>
        <w:autoSpaceDE w:val="0"/>
        <w:autoSpaceDN w:val="0"/>
        <w:adjustRightInd w:val="0"/>
        <w:spacing w:after="120"/>
        <w:ind w:left="1776"/>
        <w:rPr>
          <w:sz w:val="22"/>
          <w:szCs w:val="22"/>
        </w:rPr>
      </w:pPr>
      <w:r>
        <w:rPr>
          <w:sz w:val="22"/>
          <w:szCs w:val="22"/>
        </w:rPr>
        <w:t xml:space="preserve">      </w:t>
      </w:r>
      <w:r w:rsidR="006C541F">
        <w:rPr>
          <w:sz w:val="22"/>
          <w:szCs w:val="22"/>
        </w:rPr>
        <w:t xml:space="preserve">De plus, le CNCPH réitère qu’il subodore fortement qu’une immense majorité, voire la quasi-intégralité, des 118 formations initiales devant </w:t>
      </w:r>
      <w:r w:rsidR="00764F61">
        <w:rPr>
          <w:sz w:val="22"/>
          <w:szCs w:val="22"/>
        </w:rPr>
        <w:t xml:space="preserve">déjà à ce jour, </w:t>
      </w:r>
      <w:r w:rsidR="006C541F">
        <w:rPr>
          <w:sz w:val="22"/>
          <w:szCs w:val="22"/>
        </w:rPr>
        <w:t>dispenser un module en matière d’accessibilité, n</w:t>
      </w:r>
      <w:r w:rsidR="00764F61">
        <w:rPr>
          <w:sz w:val="22"/>
          <w:szCs w:val="22"/>
        </w:rPr>
        <w:t>e l</w:t>
      </w:r>
      <w:r w:rsidR="006C541F">
        <w:rPr>
          <w:sz w:val="22"/>
          <w:szCs w:val="22"/>
        </w:rPr>
        <w:t xml:space="preserve">’applique </w:t>
      </w:r>
      <w:r w:rsidR="000A669E">
        <w:rPr>
          <w:sz w:val="22"/>
          <w:szCs w:val="22"/>
        </w:rPr>
        <w:t xml:space="preserve">toujours </w:t>
      </w:r>
      <w:r w:rsidR="006C541F">
        <w:rPr>
          <w:sz w:val="22"/>
          <w:szCs w:val="22"/>
        </w:rPr>
        <w:t>pas</w:t>
      </w:r>
      <w:r w:rsidR="00764F61">
        <w:rPr>
          <w:sz w:val="22"/>
          <w:szCs w:val="22"/>
        </w:rPr>
        <w:t xml:space="preserve"> depuis 5 ans selon les textes réglementaires de 2009.</w:t>
      </w:r>
    </w:p>
    <w:p w:rsidR="00553233" w:rsidRDefault="00553233" w:rsidP="00553233">
      <w:pPr>
        <w:autoSpaceDE w:val="0"/>
        <w:autoSpaceDN w:val="0"/>
        <w:adjustRightInd w:val="0"/>
        <w:spacing w:after="120"/>
        <w:rPr>
          <w:sz w:val="22"/>
          <w:szCs w:val="22"/>
        </w:rPr>
      </w:pPr>
    </w:p>
    <w:p w:rsidR="00A44FBF" w:rsidRPr="001A28E6" w:rsidRDefault="00A44FBF" w:rsidP="001A28E6">
      <w:pPr>
        <w:pStyle w:val="Paragraphedeliste"/>
        <w:numPr>
          <w:ilvl w:val="0"/>
          <w:numId w:val="1"/>
        </w:numPr>
        <w:autoSpaceDE w:val="0"/>
        <w:autoSpaceDN w:val="0"/>
        <w:adjustRightInd w:val="0"/>
        <w:spacing w:after="120"/>
        <w:rPr>
          <w:sz w:val="22"/>
          <w:szCs w:val="22"/>
        </w:rPr>
      </w:pPr>
      <w:r w:rsidRPr="001A28E6">
        <w:rPr>
          <w:b/>
          <w:sz w:val="22"/>
          <w:szCs w:val="22"/>
        </w:rPr>
        <w:t>L’inexistence d’obligation faite aux CIA</w:t>
      </w:r>
      <w:r w:rsidRPr="001A28E6">
        <w:rPr>
          <w:sz w:val="22"/>
          <w:szCs w:val="22"/>
        </w:rPr>
        <w:t xml:space="preserve"> (Commissions Intercommunales d’Accessibilité) </w:t>
      </w:r>
      <w:r w:rsidRPr="001A28E6">
        <w:rPr>
          <w:b/>
          <w:sz w:val="22"/>
          <w:szCs w:val="22"/>
        </w:rPr>
        <w:t>de dresser une liste publique par voie électronique, des ERP accessibles ou ayant déposés un ADAP</w:t>
      </w:r>
      <w:r w:rsidRPr="001A28E6">
        <w:rPr>
          <w:sz w:val="22"/>
          <w:szCs w:val="22"/>
        </w:rPr>
        <w:t> ;</w:t>
      </w:r>
    </w:p>
    <w:p w:rsidR="00A44FBF" w:rsidRDefault="00541776" w:rsidP="001A28E6">
      <w:pPr>
        <w:autoSpaceDE w:val="0"/>
        <w:autoSpaceDN w:val="0"/>
        <w:adjustRightInd w:val="0"/>
        <w:spacing w:after="120"/>
        <w:ind w:left="1776"/>
        <w:rPr>
          <w:sz w:val="22"/>
          <w:szCs w:val="22"/>
        </w:rPr>
      </w:pPr>
      <w:r>
        <w:rPr>
          <w:sz w:val="22"/>
          <w:szCs w:val="22"/>
        </w:rPr>
        <w:t xml:space="preserve">      </w:t>
      </w:r>
      <w:r w:rsidR="00A44FBF">
        <w:rPr>
          <w:sz w:val="22"/>
          <w:szCs w:val="22"/>
        </w:rPr>
        <w:t xml:space="preserve">Il est pour autant nécessaire pour les personnes vivant en zone rurale, </w:t>
      </w:r>
      <w:r w:rsidR="001A28E6">
        <w:rPr>
          <w:sz w:val="22"/>
          <w:szCs w:val="22"/>
        </w:rPr>
        <w:t xml:space="preserve">  </w:t>
      </w:r>
      <w:r w:rsidR="00A44FBF">
        <w:rPr>
          <w:sz w:val="22"/>
          <w:szCs w:val="22"/>
        </w:rPr>
        <w:t>d’identifier les ERP acces</w:t>
      </w:r>
      <w:r w:rsidR="001A28E6">
        <w:rPr>
          <w:sz w:val="22"/>
          <w:szCs w:val="22"/>
        </w:rPr>
        <w:t>sibles ou ayant déposé un ADAP.</w:t>
      </w:r>
    </w:p>
    <w:p w:rsidR="00724C8A" w:rsidRDefault="00541776" w:rsidP="001A28E6">
      <w:pPr>
        <w:autoSpaceDE w:val="0"/>
        <w:autoSpaceDN w:val="0"/>
        <w:adjustRightInd w:val="0"/>
        <w:spacing w:after="120"/>
        <w:ind w:left="1776"/>
        <w:rPr>
          <w:sz w:val="22"/>
          <w:szCs w:val="22"/>
        </w:rPr>
      </w:pPr>
      <w:r>
        <w:rPr>
          <w:sz w:val="22"/>
          <w:szCs w:val="22"/>
        </w:rPr>
        <w:t xml:space="preserve">      </w:t>
      </w:r>
      <w:r w:rsidR="00724C8A">
        <w:rPr>
          <w:sz w:val="22"/>
          <w:szCs w:val="22"/>
        </w:rPr>
        <w:t xml:space="preserve">La loi du 11 février 2005 a rendu obligatoire la création de </w:t>
      </w:r>
      <w:r w:rsidR="0017054A">
        <w:rPr>
          <w:sz w:val="22"/>
          <w:szCs w:val="22"/>
        </w:rPr>
        <w:t>C</w:t>
      </w:r>
      <w:r w:rsidR="00724C8A">
        <w:rPr>
          <w:sz w:val="22"/>
          <w:szCs w:val="22"/>
        </w:rPr>
        <w:t xml:space="preserve">ommissions </w:t>
      </w:r>
      <w:r w:rsidR="001A28E6">
        <w:rPr>
          <w:sz w:val="22"/>
          <w:szCs w:val="22"/>
        </w:rPr>
        <w:t xml:space="preserve">  </w:t>
      </w:r>
      <w:r w:rsidR="00724C8A">
        <w:rPr>
          <w:sz w:val="22"/>
          <w:szCs w:val="22"/>
        </w:rPr>
        <w:t xml:space="preserve">intercommunales pour l’accessibilité (CIA) pour les intercommunalités de 5000 habitants et plus, si bien que le CNCPH ne comprendrait pas qu’il ne soit </w:t>
      </w:r>
      <w:r w:rsidR="006803D3">
        <w:rPr>
          <w:sz w:val="22"/>
          <w:szCs w:val="22"/>
        </w:rPr>
        <w:t xml:space="preserve">pas </w:t>
      </w:r>
      <w:r w:rsidR="00724C8A">
        <w:rPr>
          <w:sz w:val="22"/>
          <w:szCs w:val="22"/>
        </w:rPr>
        <w:t xml:space="preserve">possible d’obliger les CIA à tenir à jour une liste publique des ERP accessibles et de ceux ayant déposé un ADAP. </w:t>
      </w:r>
    </w:p>
    <w:p w:rsidR="00724C8A" w:rsidRDefault="00724C8A" w:rsidP="001A28E6">
      <w:pPr>
        <w:autoSpaceDE w:val="0"/>
        <w:autoSpaceDN w:val="0"/>
        <w:adjustRightInd w:val="0"/>
        <w:spacing w:after="120"/>
        <w:ind w:left="1776" w:firstLine="12"/>
        <w:rPr>
          <w:sz w:val="22"/>
          <w:szCs w:val="22"/>
        </w:rPr>
      </w:pPr>
      <w:r>
        <w:rPr>
          <w:sz w:val="22"/>
          <w:szCs w:val="22"/>
        </w:rPr>
        <w:t xml:space="preserve">Il faut rappeler que la majorité des communes françaises sont en </w:t>
      </w:r>
      <w:r w:rsidR="0017054A">
        <w:rPr>
          <w:sz w:val="22"/>
          <w:szCs w:val="22"/>
        </w:rPr>
        <w:t>deçà</w:t>
      </w:r>
      <w:r>
        <w:rPr>
          <w:sz w:val="22"/>
          <w:szCs w:val="22"/>
        </w:rPr>
        <w:t xml:space="preserve"> de 5000 habitants, seuil de déclenchement de l’obligation d’animer une Commission communale pour l’</w:t>
      </w:r>
      <w:r w:rsidR="0017054A">
        <w:rPr>
          <w:sz w:val="22"/>
          <w:szCs w:val="22"/>
        </w:rPr>
        <w:t>accessibilité</w:t>
      </w:r>
      <w:r>
        <w:rPr>
          <w:sz w:val="22"/>
          <w:szCs w:val="22"/>
        </w:rPr>
        <w:t xml:space="preserve"> (CCA). Ainsi, il est fondamental, pour les zones rurales notamment, que la CIA puisse tenir obligatoirement une liste publique des ERP accessibles et de ceux ayant déposé un ADAP. </w:t>
      </w:r>
    </w:p>
    <w:p w:rsidR="00A44FBF" w:rsidRDefault="00A44FBF" w:rsidP="00A44FBF"/>
    <w:p w:rsidR="00A44FBF" w:rsidRDefault="00A44FBF" w:rsidP="00A44FBF"/>
    <w:p w:rsidR="00F35254" w:rsidRDefault="00F35254" w:rsidP="00A44FBF">
      <w:r>
        <w:tab/>
      </w:r>
    </w:p>
    <w:p w:rsidR="00F35254" w:rsidRDefault="00F35254" w:rsidP="00A44FBF"/>
    <w:p w:rsidR="00F35254" w:rsidRPr="00541776" w:rsidRDefault="00F35254" w:rsidP="00F35254">
      <w:pPr>
        <w:pStyle w:val="Paragraphedeliste"/>
        <w:numPr>
          <w:ilvl w:val="0"/>
          <w:numId w:val="7"/>
        </w:numPr>
        <w:rPr>
          <w:b/>
          <w:sz w:val="22"/>
          <w:szCs w:val="22"/>
          <w:u w:val="single"/>
        </w:rPr>
      </w:pPr>
      <w:r w:rsidRPr="00541776">
        <w:rPr>
          <w:b/>
          <w:sz w:val="22"/>
          <w:szCs w:val="22"/>
          <w:u w:val="single"/>
        </w:rPr>
        <w:t>Des projets de textes réglementaires</w:t>
      </w:r>
      <w:r w:rsidR="00541776">
        <w:rPr>
          <w:b/>
          <w:sz w:val="22"/>
          <w:szCs w:val="22"/>
          <w:u w:val="single"/>
        </w:rPr>
        <w:t xml:space="preserve"> : un cortège de reculs et de non-avancées </w:t>
      </w:r>
    </w:p>
    <w:p w:rsidR="00F35254" w:rsidRDefault="00F35254" w:rsidP="00F35254"/>
    <w:p w:rsidR="00F35254" w:rsidRDefault="00F35254" w:rsidP="00F35254"/>
    <w:p w:rsidR="00F35254" w:rsidRDefault="00D129EF" w:rsidP="003B78C9">
      <w:pPr>
        <w:ind w:left="0" w:firstLine="0"/>
        <w:rPr>
          <w:sz w:val="22"/>
          <w:szCs w:val="22"/>
        </w:rPr>
      </w:pPr>
      <w:r w:rsidRPr="004F4063">
        <w:rPr>
          <w:sz w:val="22"/>
          <w:szCs w:val="22"/>
        </w:rPr>
        <w:t>9</w:t>
      </w:r>
      <w:r>
        <w:rPr>
          <w:sz w:val="22"/>
          <w:szCs w:val="22"/>
        </w:rPr>
        <w:t xml:space="preserve"> neufs projets de textes réglementaires étaient soumis pour avis au CNCPH ; 2 concernent</w:t>
      </w:r>
      <w:r w:rsidR="008A305F">
        <w:rPr>
          <w:sz w:val="22"/>
          <w:szCs w:val="22"/>
        </w:rPr>
        <w:t xml:space="preserve"> un décret et un a</w:t>
      </w:r>
      <w:r>
        <w:rPr>
          <w:sz w:val="22"/>
          <w:szCs w:val="22"/>
        </w:rPr>
        <w:t>rrêté modifiant la réglementation du CCH (Code de l’Habitation et de la Construction) sur les prescriptions à respecter en matière d’ERP et d’IOP (Installation Ouvertes au Public).</w:t>
      </w:r>
    </w:p>
    <w:p w:rsidR="00D129EF" w:rsidRDefault="008B0F92" w:rsidP="003B78C9">
      <w:pPr>
        <w:ind w:left="0" w:firstLine="0"/>
        <w:rPr>
          <w:sz w:val="22"/>
          <w:szCs w:val="22"/>
        </w:rPr>
      </w:pPr>
      <w:r>
        <w:rPr>
          <w:sz w:val="22"/>
          <w:szCs w:val="22"/>
        </w:rPr>
        <w:t>Les 7 autres textes sont afférents au dispositif des ADAP dans le domaine des ERP et des services de transports publics.</w:t>
      </w:r>
    </w:p>
    <w:p w:rsidR="008B0F92" w:rsidRDefault="008B0F92" w:rsidP="00D129EF">
      <w:pPr>
        <w:rPr>
          <w:sz w:val="22"/>
          <w:szCs w:val="22"/>
        </w:rPr>
      </w:pPr>
    </w:p>
    <w:p w:rsidR="00D717ED" w:rsidRDefault="00C13548" w:rsidP="00D8245D">
      <w:pPr>
        <w:ind w:left="0" w:firstLine="0"/>
        <w:rPr>
          <w:sz w:val="22"/>
          <w:szCs w:val="22"/>
        </w:rPr>
      </w:pPr>
      <w:r>
        <w:rPr>
          <w:sz w:val="22"/>
          <w:szCs w:val="22"/>
        </w:rPr>
        <w:t>Tout en reconnaissant que les engagements gouvernementaux de proposer dans le m</w:t>
      </w:r>
      <w:r w:rsidR="00D8245D">
        <w:rPr>
          <w:sz w:val="22"/>
          <w:szCs w:val="22"/>
        </w:rPr>
        <w:t xml:space="preserve">ême </w:t>
      </w:r>
      <w:r w:rsidR="008A305F">
        <w:rPr>
          <w:sz w:val="22"/>
          <w:szCs w:val="22"/>
        </w:rPr>
        <w:t>laps de temps un projet d’o</w:t>
      </w:r>
      <w:r>
        <w:rPr>
          <w:sz w:val="22"/>
          <w:szCs w:val="22"/>
        </w:rPr>
        <w:t>rdonnance accompagné des projets de textes réglementaires</w:t>
      </w:r>
      <w:r w:rsidR="00D717ED">
        <w:rPr>
          <w:sz w:val="22"/>
          <w:szCs w:val="22"/>
        </w:rPr>
        <w:t xml:space="preserve"> ont été tenus</w:t>
      </w:r>
      <w:r>
        <w:rPr>
          <w:sz w:val="22"/>
          <w:szCs w:val="22"/>
        </w:rPr>
        <w:t>, le CNCPH tient toutefois à signa</w:t>
      </w:r>
      <w:r w:rsidR="00D717ED">
        <w:rPr>
          <w:sz w:val="22"/>
          <w:szCs w:val="22"/>
        </w:rPr>
        <w:t>ler les mauvaises conditions d’examen en termes calendaires.</w:t>
      </w:r>
    </w:p>
    <w:p w:rsidR="004F4063" w:rsidRDefault="004F4063" w:rsidP="00D8245D">
      <w:pPr>
        <w:ind w:left="0" w:firstLine="0"/>
        <w:rPr>
          <w:sz w:val="22"/>
          <w:szCs w:val="22"/>
        </w:rPr>
      </w:pPr>
    </w:p>
    <w:p w:rsidR="00D717ED" w:rsidRDefault="00D717ED" w:rsidP="00D8245D">
      <w:pPr>
        <w:ind w:left="0" w:firstLine="0"/>
        <w:rPr>
          <w:sz w:val="22"/>
          <w:szCs w:val="22"/>
        </w:rPr>
      </w:pPr>
      <w:r>
        <w:rPr>
          <w:sz w:val="22"/>
          <w:szCs w:val="22"/>
        </w:rPr>
        <w:t>La réception tardive de nombreux projets de texte d’importance cruciale n’a pas permis des conditions d’étude satisfaisante. Ainsi, la DMA (Délégation Ministérielle à l’Accessibilité) et la DHUP (Direction de l’Habitat, de l’Urbanisme et des Paysages) ont indiqué aux membres de la Commission accessibilité</w:t>
      </w:r>
      <w:r w:rsidR="004F4063">
        <w:rPr>
          <w:sz w:val="22"/>
          <w:szCs w:val="22"/>
        </w:rPr>
        <w:t xml:space="preserve"> lundi </w:t>
      </w:r>
      <w:r>
        <w:rPr>
          <w:sz w:val="22"/>
          <w:szCs w:val="22"/>
        </w:rPr>
        <w:t xml:space="preserve">7 juillet, que les commentaires effectués sur les projets de </w:t>
      </w:r>
      <w:r>
        <w:rPr>
          <w:sz w:val="22"/>
          <w:szCs w:val="22"/>
        </w:rPr>
        <w:lastRenderedPageBreak/>
        <w:t>texte nécessiteraient de nouvelles RIM (Réunions InterMinistérielles), alors que les échéances calendaires ne le permettent plus</w:t>
      </w:r>
      <w:r w:rsidR="00395A67">
        <w:rPr>
          <w:sz w:val="22"/>
          <w:szCs w:val="22"/>
        </w:rPr>
        <w:t xml:space="preserve"> à l’aune de la présente séance plénière du jeudi 10 juillet</w:t>
      </w:r>
      <w:r>
        <w:rPr>
          <w:sz w:val="22"/>
          <w:szCs w:val="22"/>
        </w:rPr>
        <w:t>.</w:t>
      </w:r>
    </w:p>
    <w:p w:rsidR="004F4063" w:rsidRDefault="004F4063" w:rsidP="00D8245D">
      <w:pPr>
        <w:ind w:left="0" w:firstLine="0"/>
        <w:rPr>
          <w:sz w:val="22"/>
          <w:szCs w:val="22"/>
        </w:rPr>
      </w:pPr>
    </w:p>
    <w:p w:rsidR="00D717ED" w:rsidRDefault="00D717ED" w:rsidP="00D8245D">
      <w:pPr>
        <w:ind w:left="0" w:firstLine="0"/>
        <w:rPr>
          <w:sz w:val="22"/>
          <w:szCs w:val="22"/>
        </w:rPr>
      </w:pPr>
      <w:r>
        <w:rPr>
          <w:sz w:val="22"/>
          <w:szCs w:val="22"/>
        </w:rPr>
        <w:t xml:space="preserve">Deux semaines après le dossier de presse du Ministère du Logement </w:t>
      </w:r>
      <w:r w:rsidR="00395A67">
        <w:rPr>
          <w:sz w:val="22"/>
          <w:szCs w:val="22"/>
        </w:rPr>
        <w:t>annonçant</w:t>
      </w:r>
      <w:r>
        <w:rPr>
          <w:sz w:val="22"/>
          <w:szCs w:val="22"/>
        </w:rPr>
        <w:t xml:space="preserve"> des modifications réglementaires qui n’ont pas reçu l’avis légalement requis du CNCPH, ce dernier s’interroge </w:t>
      </w:r>
      <w:r w:rsidR="00395A67">
        <w:rPr>
          <w:sz w:val="22"/>
          <w:szCs w:val="22"/>
        </w:rPr>
        <w:t xml:space="preserve">donc </w:t>
      </w:r>
      <w:r>
        <w:rPr>
          <w:sz w:val="22"/>
          <w:szCs w:val="22"/>
        </w:rPr>
        <w:t>sur le respect de ses attributions consultatives.</w:t>
      </w:r>
    </w:p>
    <w:p w:rsidR="00D717ED" w:rsidRDefault="00D717ED" w:rsidP="00D129EF">
      <w:pPr>
        <w:rPr>
          <w:sz w:val="22"/>
          <w:szCs w:val="22"/>
        </w:rPr>
      </w:pPr>
    </w:p>
    <w:p w:rsidR="00D717ED" w:rsidRDefault="00D717ED" w:rsidP="00D129EF">
      <w:pPr>
        <w:rPr>
          <w:sz w:val="22"/>
          <w:szCs w:val="22"/>
        </w:rPr>
      </w:pPr>
    </w:p>
    <w:p w:rsidR="00395A67" w:rsidRPr="00D8245D" w:rsidRDefault="00395A67" w:rsidP="00395A67">
      <w:pPr>
        <w:pStyle w:val="Paragraphedeliste"/>
        <w:numPr>
          <w:ilvl w:val="0"/>
          <w:numId w:val="8"/>
        </w:numPr>
        <w:rPr>
          <w:sz w:val="22"/>
          <w:szCs w:val="22"/>
          <w:u w:val="single"/>
        </w:rPr>
      </w:pPr>
      <w:r w:rsidRPr="00D8245D">
        <w:rPr>
          <w:sz w:val="22"/>
          <w:szCs w:val="22"/>
          <w:u w:val="single"/>
        </w:rPr>
        <w:t xml:space="preserve">Les </w:t>
      </w:r>
      <w:r w:rsidR="008A305F">
        <w:rPr>
          <w:sz w:val="22"/>
          <w:szCs w:val="22"/>
          <w:u w:val="single"/>
        </w:rPr>
        <w:t>nombreux reculs des projets de décret et d’a</w:t>
      </w:r>
      <w:r w:rsidRPr="00D8245D">
        <w:rPr>
          <w:sz w:val="22"/>
          <w:szCs w:val="22"/>
          <w:u w:val="single"/>
        </w:rPr>
        <w:t>rrêté relatifs à l’accessibilité des ERP et IOP</w:t>
      </w:r>
    </w:p>
    <w:p w:rsidR="00395A67" w:rsidRDefault="00395A67" w:rsidP="00395A67">
      <w:pPr>
        <w:rPr>
          <w:sz w:val="22"/>
          <w:szCs w:val="22"/>
        </w:rPr>
      </w:pPr>
    </w:p>
    <w:p w:rsidR="00395A67" w:rsidRPr="00395A67" w:rsidRDefault="00FA344A" w:rsidP="00395A67">
      <w:pPr>
        <w:ind w:left="0" w:firstLine="0"/>
        <w:rPr>
          <w:sz w:val="22"/>
          <w:szCs w:val="22"/>
        </w:rPr>
      </w:pPr>
      <w:r>
        <w:rPr>
          <w:sz w:val="22"/>
          <w:szCs w:val="22"/>
        </w:rPr>
        <w:t xml:space="preserve">Tout d’abord, </w:t>
      </w:r>
      <w:r w:rsidR="006C0589">
        <w:rPr>
          <w:sz w:val="22"/>
          <w:szCs w:val="22"/>
        </w:rPr>
        <w:t>le CNCPH réitère ses commentaires négatifs qu’il a effectués sur le projet d’Ordonnance dont les points sont repris dans les projets de textes réglementaires (l’introduction d’un nouveau motif de dérogation avec les copropriétés, le régime de la décision implicite d’acceptation de l’</w:t>
      </w:r>
      <w:r w:rsidR="00686F0A">
        <w:rPr>
          <w:sz w:val="22"/>
          <w:szCs w:val="22"/>
        </w:rPr>
        <w:t>autorité</w:t>
      </w:r>
      <w:r w:rsidR="006C0589">
        <w:rPr>
          <w:sz w:val="22"/>
          <w:szCs w:val="22"/>
        </w:rPr>
        <w:t xml:space="preserve"> administrative, etc.)</w:t>
      </w:r>
      <w:r w:rsidR="00395A67" w:rsidRPr="00395A67">
        <w:rPr>
          <w:sz w:val="22"/>
          <w:szCs w:val="22"/>
        </w:rPr>
        <w:t xml:space="preserve"> </w:t>
      </w:r>
    </w:p>
    <w:p w:rsidR="008B0F92" w:rsidRDefault="00C13548" w:rsidP="00D129EF">
      <w:pPr>
        <w:rPr>
          <w:sz w:val="22"/>
          <w:szCs w:val="22"/>
        </w:rPr>
      </w:pPr>
      <w:r>
        <w:rPr>
          <w:sz w:val="22"/>
          <w:szCs w:val="22"/>
        </w:rPr>
        <w:t xml:space="preserve"> </w:t>
      </w:r>
    </w:p>
    <w:p w:rsidR="00C13548" w:rsidRDefault="00686F0A" w:rsidP="00775846">
      <w:pPr>
        <w:ind w:left="0" w:firstLine="0"/>
        <w:rPr>
          <w:sz w:val="22"/>
          <w:szCs w:val="22"/>
        </w:rPr>
      </w:pPr>
      <w:r>
        <w:rPr>
          <w:sz w:val="22"/>
          <w:szCs w:val="22"/>
        </w:rPr>
        <w:t>Concernant le projet de Décret, le CNCPH fustige :</w:t>
      </w:r>
    </w:p>
    <w:p w:rsidR="00686F0A" w:rsidRDefault="00686F0A" w:rsidP="00D129EF">
      <w:pPr>
        <w:rPr>
          <w:sz w:val="22"/>
          <w:szCs w:val="22"/>
        </w:rPr>
      </w:pPr>
    </w:p>
    <w:p w:rsidR="00686F0A" w:rsidRDefault="00574418" w:rsidP="00574418">
      <w:pPr>
        <w:pStyle w:val="Paragraphedeliste"/>
        <w:numPr>
          <w:ilvl w:val="0"/>
          <w:numId w:val="1"/>
        </w:numPr>
        <w:ind w:left="1775" w:hanging="357"/>
        <w:rPr>
          <w:sz w:val="22"/>
          <w:szCs w:val="22"/>
        </w:rPr>
      </w:pPr>
      <w:r>
        <w:rPr>
          <w:sz w:val="22"/>
          <w:szCs w:val="22"/>
        </w:rPr>
        <w:t>Qu’ « </w:t>
      </w:r>
      <w:r w:rsidRPr="00775846">
        <w:rPr>
          <w:i/>
          <w:sz w:val="22"/>
          <w:szCs w:val="22"/>
        </w:rPr>
        <w:t>une partie des prestations</w:t>
      </w:r>
      <w:r>
        <w:rPr>
          <w:sz w:val="22"/>
          <w:szCs w:val="22"/>
        </w:rPr>
        <w:t xml:space="preserve"> [puisse être] </w:t>
      </w:r>
      <w:r w:rsidRPr="00775846">
        <w:rPr>
          <w:i/>
          <w:sz w:val="22"/>
          <w:szCs w:val="22"/>
        </w:rPr>
        <w:t>fournie par des mesures de substitution</w:t>
      </w:r>
      <w:r>
        <w:rPr>
          <w:sz w:val="22"/>
          <w:szCs w:val="22"/>
        </w:rPr>
        <w:t> », sans qu’il soit demandé des justifications sur des motifs d’impossibilité technique ou économique.</w:t>
      </w:r>
    </w:p>
    <w:p w:rsidR="00574418" w:rsidRDefault="00574418" w:rsidP="00574418">
      <w:pPr>
        <w:pStyle w:val="Paragraphedeliste"/>
        <w:ind w:left="1775" w:firstLine="0"/>
        <w:rPr>
          <w:sz w:val="22"/>
          <w:szCs w:val="22"/>
        </w:rPr>
      </w:pPr>
      <w:r>
        <w:rPr>
          <w:sz w:val="22"/>
          <w:szCs w:val="22"/>
        </w:rPr>
        <w:t>La conséquence concrète en serait par exemple qu’un médecin généraliste puisse proposer des visites à domicile pour s’exonérer d’une mise en accessibilité. Rappelons à cet égard que le coût des visites à domicile est supérieur à celui d’une consultation ordinaire ; et ce, à l’heure où il s’agit de maîtriser le déficit des comptes sociaux, et que les personnes en situation de handicap subissent la mesure des franchises médicales.</w:t>
      </w:r>
    </w:p>
    <w:p w:rsidR="00574418" w:rsidRDefault="00574418" w:rsidP="00574418">
      <w:pPr>
        <w:pStyle w:val="Paragraphedeliste"/>
        <w:tabs>
          <w:tab w:val="left" w:pos="3075"/>
        </w:tabs>
        <w:spacing w:line="360" w:lineRule="auto"/>
        <w:ind w:left="1776"/>
        <w:rPr>
          <w:sz w:val="22"/>
          <w:szCs w:val="22"/>
        </w:rPr>
      </w:pPr>
      <w:r>
        <w:rPr>
          <w:sz w:val="22"/>
          <w:szCs w:val="22"/>
        </w:rPr>
        <w:tab/>
      </w:r>
    </w:p>
    <w:p w:rsidR="00574418" w:rsidRDefault="00775846" w:rsidP="00775846">
      <w:pPr>
        <w:pStyle w:val="Paragraphedeliste"/>
        <w:numPr>
          <w:ilvl w:val="0"/>
          <w:numId w:val="1"/>
        </w:numPr>
        <w:tabs>
          <w:tab w:val="left" w:pos="3075"/>
        </w:tabs>
        <w:ind w:left="1775" w:hanging="357"/>
        <w:rPr>
          <w:sz w:val="22"/>
          <w:szCs w:val="22"/>
        </w:rPr>
      </w:pPr>
      <w:r>
        <w:rPr>
          <w:sz w:val="22"/>
          <w:szCs w:val="22"/>
        </w:rPr>
        <w:t>Le caractère discriminatoire de la disposition visant à appréhender les coûts d’une mise en accessibilité « </w:t>
      </w:r>
      <w:r w:rsidRPr="00775846">
        <w:rPr>
          <w:i/>
          <w:sz w:val="22"/>
          <w:szCs w:val="22"/>
        </w:rPr>
        <w:t>handicap par handicap</w:t>
      </w:r>
      <w:r>
        <w:rPr>
          <w:sz w:val="22"/>
          <w:szCs w:val="22"/>
        </w:rPr>
        <w:t xml:space="preserve"> » (Cf. Voir le d) du 3° de l’Article 8 du projet de Décret). </w:t>
      </w:r>
    </w:p>
    <w:p w:rsidR="00775846" w:rsidRDefault="00775846" w:rsidP="00775846">
      <w:pPr>
        <w:pStyle w:val="Paragraphedeliste"/>
        <w:tabs>
          <w:tab w:val="left" w:pos="3075"/>
        </w:tabs>
        <w:ind w:left="1775" w:firstLine="0"/>
        <w:rPr>
          <w:sz w:val="22"/>
          <w:szCs w:val="22"/>
        </w:rPr>
      </w:pPr>
      <w:r>
        <w:rPr>
          <w:sz w:val="22"/>
          <w:szCs w:val="22"/>
        </w:rPr>
        <w:t>Cette mesure stigmatiserait encore plus certains publics en quête d’accessibilité, puisque des comparaisons budgétaires seraient effectuées entre les différents types de déficiences.</w:t>
      </w:r>
    </w:p>
    <w:p w:rsidR="00775846" w:rsidRDefault="007C5CC4" w:rsidP="00775846">
      <w:pPr>
        <w:pStyle w:val="Paragraphedeliste"/>
        <w:tabs>
          <w:tab w:val="left" w:pos="3075"/>
        </w:tabs>
        <w:ind w:left="1775" w:firstLine="0"/>
        <w:rPr>
          <w:sz w:val="22"/>
          <w:szCs w:val="22"/>
        </w:rPr>
      </w:pPr>
      <w:r>
        <w:rPr>
          <w:sz w:val="22"/>
          <w:szCs w:val="22"/>
        </w:rPr>
        <w:t>Le CNCPH suggère ainsi fortement de remplacer cette mention par « </w:t>
      </w:r>
      <w:r w:rsidRPr="00800385">
        <w:rPr>
          <w:i/>
          <w:sz w:val="22"/>
          <w:szCs w:val="22"/>
        </w:rPr>
        <w:t>prescription technique par prescription technique</w:t>
      </w:r>
      <w:r w:rsidR="00BF6CAE">
        <w:rPr>
          <w:sz w:val="22"/>
          <w:szCs w:val="22"/>
        </w:rPr>
        <w:t> » ; suggestion qui a été acceptée par le Secrétariat d’Etat aux personnes handicapées lors de la présente séance.</w:t>
      </w:r>
    </w:p>
    <w:p w:rsidR="007C5CC4" w:rsidRDefault="007C5CC4" w:rsidP="007C5CC4">
      <w:pPr>
        <w:tabs>
          <w:tab w:val="left" w:pos="3075"/>
        </w:tabs>
        <w:ind w:left="0" w:firstLine="0"/>
        <w:rPr>
          <w:sz w:val="22"/>
          <w:szCs w:val="22"/>
        </w:rPr>
      </w:pPr>
    </w:p>
    <w:p w:rsidR="007C5CC4" w:rsidRDefault="007C5CC4" w:rsidP="007C5CC4">
      <w:pPr>
        <w:tabs>
          <w:tab w:val="left" w:pos="3075"/>
        </w:tabs>
        <w:ind w:left="0" w:firstLine="0"/>
        <w:rPr>
          <w:sz w:val="22"/>
          <w:szCs w:val="22"/>
        </w:rPr>
      </w:pPr>
      <w:r>
        <w:rPr>
          <w:sz w:val="22"/>
          <w:szCs w:val="22"/>
        </w:rPr>
        <w:t xml:space="preserve">                 </w:t>
      </w:r>
    </w:p>
    <w:p w:rsidR="007C5CC4" w:rsidRDefault="00C11DDF" w:rsidP="007C5CC4">
      <w:pPr>
        <w:pStyle w:val="Paragraphedeliste"/>
        <w:numPr>
          <w:ilvl w:val="0"/>
          <w:numId w:val="1"/>
        </w:numPr>
        <w:tabs>
          <w:tab w:val="left" w:pos="3075"/>
        </w:tabs>
        <w:rPr>
          <w:sz w:val="22"/>
          <w:szCs w:val="22"/>
        </w:rPr>
      </w:pPr>
      <w:r>
        <w:rPr>
          <w:sz w:val="22"/>
          <w:szCs w:val="22"/>
        </w:rPr>
        <w:t>L’absence de graduation « stratégique » dans les mises en accessibilité des zones contigües considérées comme inaccessibles dans un ERP (Cf. Voir b) et c) du III. de l’Article 7).</w:t>
      </w:r>
    </w:p>
    <w:p w:rsidR="00C11DDF" w:rsidRDefault="00C11DDF" w:rsidP="00C11DDF">
      <w:pPr>
        <w:pStyle w:val="Paragraphedeliste"/>
        <w:tabs>
          <w:tab w:val="left" w:pos="3075"/>
        </w:tabs>
        <w:ind w:left="1776" w:firstLine="0"/>
        <w:rPr>
          <w:sz w:val="22"/>
          <w:szCs w:val="22"/>
        </w:rPr>
      </w:pPr>
      <w:r>
        <w:rPr>
          <w:sz w:val="22"/>
          <w:szCs w:val="22"/>
        </w:rPr>
        <w:t>Le préjudice de cette mesure serait de considérer certaines zones comme définitivement inaccessibles.</w:t>
      </w:r>
    </w:p>
    <w:p w:rsidR="00C11DDF" w:rsidRDefault="00C11DDF" w:rsidP="00C11DDF">
      <w:pPr>
        <w:tabs>
          <w:tab w:val="left" w:pos="3075"/>
        </w:tabs>
        <w:ind w:left="0" w:firstLine="0"/>
        <w:rPr>
          <w:sz w:val="22"/>
          <w:szCs w:val="22"/>
        </w:rPr>
      </w:pPr>
    </w:p>
    <w:p w:rsidR="00C11DDF" w:rsidRDefault="00C11DDF" w:rsidP="00C11DDF">
      <w:pPr>
        <w:tabs>
          <w:tab w:val="left" w:pos="3075"/>
        </w:tabs>
        <w:ind w:left="0" w:firstLine="0"/>
        <w:rPr>
          <w:sz w:val="22"/>
          <w:szCs w:val="22"/>
        </w:rPr>
      </w:pPr>
    </w:p>
    <w:p w:rsidR="00450221" w:rsidRDefault="00450221" w:rsidP="00C11DDF">
      <w:pPr>
        <w:tabs>
          <w:tab w:val="left" w:pos="3075"/>
        </w:tabs>
        <w:ind w:left="0" w:firstLine="0"/>
        <w:rPr>
          <w:sz w:val="22"/>
          <w:szCs w:val="22"/>
        </w:rPr>
      </w:pPr>
    </w:p>
    <w:p w:rsidR="00C11DDF" w:rsidRDefault="006E3059" w:rsidP="00C11DDF">
      <w:pPr>
        <w:tabs>
          <w:tab w:val="left" w:pos="3075"/>
        </w:tabs>
        <w:ind w:left="0" w:firstLine="0"/>
        <w:rPr>
          <w:sz w:val="22"/>
          <w:szCs w:val="22"/>
        </w:rPr>
      </w:pPr>
      <w:r>
        <w:rPr>
          <w:sz w:val="22"/>
          <w:szCs w:val="22"/>
        </w:rPr>
        <w:t>Concernant le projet d’a</w:t>
      </w:r>
      <w:r w:rsidR="00C11DDF">
        <w:rPr>
          <w:sz w:val="22"/>
          <w:szCs w:val="22"/>
        </w:rPr>
        <w:t>rrêté, il s’agit manifestement d’un grave nivellement par le bas.</w:t>
      </w:r>
    </w:p>
    <w:p w:rsidR="00C11DDF" w:rsidRDefault="00C11DDF" w:rsidP="00C11DDF">
      <w:pPr>
        <w:tabs>
          <w:tab w:val="left" w:pos="3075"/>
        </w:tabs>
        <w:ind w:left="0" w:firstLine="0"/>
        <w:rPr>
          <w:sz w:val="22"/>
          <w:szCs w:val="22"/>
        </w:rPr>
      </w:pPr>
      <w:r>
        <w:rPr>
          <w:sz w:val="22"/>
          <w:szCs w:val="22"/>
        </w:rPr>
        <w:t xml:space="preserve">Outre le fait qu’un certain nombre de propositions avaient été refusées par les associations de personnes en situation de handicap au cours des réunions dîtes de « concertation » au </w:t>
      </w:r>
      <w:r>
        <w:rPr>
          <w:sz w:val="22"/>
          <w:szCs w:val="22"/>
        </w:rPr>
        <w:lastRenderedPageBreak/>
        <w:t>cours de l’hiver 2013-2014, d’autres mesures dégradant les conditions d’accessibilité font leur soudaine apparition dans ce projet d’Arrêté.</w:t>
      </w:r>
    </w:p>
    <w:p w:rsidR="00875196" w:rsidRDefault="00875196" w:rsidP="00C11DDF">
      <w:pPr>
        <w:tabs>
          <w:tab w:val="left" w:pos="3075"/>
        </w:tabs>
        <w:ind w:left="0" w:firstLine="0"/>
        <w:rPr>
          <w:sz w:val="22"/>
          <w:szCs w:val="22"/>
        </w:rPr>
      </w:pPr>
    </w:p>
    <w:p w:rsidR="008A305F" w:rsidRDefault="008A305F" w:rsidP="00C11DDF">
      <w:pPr>
        <w:tabs>
          <w:tab w:val="left" w:pos="3075"/>
        </w:tabs>
        <w:ind w:left="0" w:firstLine="0"/>
        <w:rPr>
          <w:sz w:val="22"/>
          <w:szCs w:val="22"/>
        </w:rPr>
      </w:pPr>
    </w:p>
    <w:p w:rsidR="00F71C12" w:rsidRDefault="00875196" w:rsidP="00C11DDF">
      <w:pPr>
        <w:tabs>
          <w:tab w:val="left" w:pos="3075"/>
        </w:tabs>
        <w:ind w:left="0" w:firstLine="0"/>
        <w:rPr>
          <w:sz w:val="22"/>
          <w:szCs w:val="22"/>
        </w:rPr>
      </w:pPr>
      <w:r>
        <w:rPr>
          <w:sz w:val="22"/>
          <w:szCs w:val="22"/>
        </w:rPr>
        <w:t xml:space="preserve">Ainsi, </w:t>
      </w:r>
      <w:r w:rsidR="00F71C12">
        <w:rPr>
          <w:sz w:val="22"/>
          <w:szCs w:val="22"/>
        </w:rPr>
        <w:t xml:space="preserve">et notamment </w:t>
      </w:r>
      <w:r>
        <w:rPr>
          <w:sz w:val="22"/>
          <w:szCs w:val="22"/>
        </w:rPr>
        <w:t>parmi de très nombreux exemples</w:t>
      </w:r>
      <w:r w:rsidR="00F71C12">
        <w:rPr>
          <w:sz w:val="22"/>
          <w:szCs w:val="22"/>
        </w:rPr>
        <w:t> :</w:t>
      </w:r>
    </w:p>
    <w:p w:rsidR="00F71C12" w:rsidRDefault="00F71C12" w:rsidP="00C11DDF">
      <w:pPr>
        <w:tabs>
          <w:tab w:val="left" w:pos="3075"/>
        </w:tabs>
        <w:ind w:left="0" w:firstLine="0"/>
        <w:rPr>
          <w:sz w:val="22"/>
          <w:szCs w:val="22"/>
        </w:rPr>
      </w:pPr>
    </w:p>
    <w:p w:rsidR="00875196" w:rsidRDefault="00F71C12" w:rsidP="00F71C12">
      <w:pPr>
        <w:pStyle w:val="Paragraphedeliste"/>
        <w:numPr>
          <w:ilvl w:val="0"/>
          <w:numId w:val="1"/>
        </w:numPr>
        <w:tabs>
          <w:tab w:val="left" w:pos="3075"/>
        </w:tabs>
        <w:rPr>
          <w:sz w:val="22"/>
          <w:szCs w:val="22"/>
        </w:rPr>
      </w:pPr>
      <w:r>
        <w:rPr>
          <w:sz w:val="22"/>
          <w:szCs w:val="22"/>
        </w:rPr>
        <w:t xml:space="preserve">Le relèvement des seuils </w:t>
      </w:r>
      <w:r w:rsidR="00FA7560">
        <w:rPr>
          <w:sz w:val="22"/>
          <w:szCs w:val="22"/>
        </w:rPr>
        <w:t>de dévers de 2 à 3 %, et de plan incliné de 5 à 6 %.</w:t>
      </w:r>
      <w:r>
        <w:rPr>
          <w:sz w:val="22"/>
          <w:szCs w:val="22"/>
        </w:rPr>
        <w:t xml:space="preserve"> </w:t>
      </w:r>
      <w:r w:rsidR="00875196" w:rsidRPr="00F71C12">
        <w:rPr>
          <w:sz w:val="22"/>
          <w:szCs w:val="22"/>
        </w:rPr>
        <w:t xml:space="preserve"> </w:t>
      </w:r>
    </w:p>
    <w:p w:rsidR="00FA7560" w:rsidRDefault="00FA7560" w:rsidP="00FA7560">
      <w:pPr>
        <w:pStyle w:val="Paragraphedeliste"/>
        <w:tabs>
          <w:tab w:val="left" w:pos="3075"/>
        </w:tabs>
        <w:ind w:left="1776" w:firstLine="0"/>
        <w:rPr>
          <w:sz w:val="22"/>
          <w:szCs w:val="22"/>
        </w:rPr>
      </w:pPr>
      <w:r>
        <w:rPr>
          <w:sz w:val="22"/>
          <w:szCs w:val="22"/>
        </w:rPr>
        <w:t xml:space="preserve">Il semble </w:t>
      </w:r>
      <w:r w:rsidR="006E3059">
        <w:rPr>
          <w:sz w:val="22"/>
          <w:szCs w:val="22"/>
        </w:rPr>
        <w:t>que les rédacteurs du projet d’a</w:t>
      </w:r>
      <w:r>
        <w:rPr>
          <w:sz w:val="22"/>
          <w:szCs w:val="22"/>
        </w:rPr>
        <w:t>rrêté méconnaissent les difficultés quotidiennes des utilisateurs de fauteuils roulant.</w:t>
      </w:r>
    </w:p>
    <w:p w:rsidR="00FA7560" w:rsidRDefault="00FA7560" w:rsidP="00FA7560">
      <w:pPr>
        <w:tabs>
          <w:tab w:val="left" w:pos="3075"/>
        </w:tabs>
        <w:rPr>
          <w:sz w:val="22"/>
          <w:szCs w:val="22"/>
        </w:rPr>
      </w:pPr>
    </w:p>
    <w:p w:rsidR="00FA7560" w:rsidRDefault="00FA7560" w:rsidP="00FA7560">
      <w:pPr>
        <w:pStyle w:val="Paragraphedeliste"/>
        <w:numPr>
          <w:ilvl w:val="0"/>
          <w:numId w:val="1"/>
        </w:numPr>
        <w:tabs>
          <w:tab w:val="left" w:pos="3075"/>
        </w:tabs>
        <w:rPr>
          <w:sz w:val="22"/>
          <w:szCs w:val="22"/>
        </w:rPr>
      </w:pPr>
      <w:r>
        <w:rPr>
          <w:sz w:val="22"/>
          <w:szCs w:val="22"/>
        </w:rPr>
        <w:t>Le rétrécissement de</w:t>
      </w:r>
      <w:r w:rsidR="00406507">
        <w:rPr>
          <w:sz w:val="22"/>
          <w:szCs w:val="22"/>
        </w:rPr>
        <w:t xml:space="preserve"> la larg</w:t>
      </w:r>
      <w:r>
        <w:rPr>
          <w:sz w:val="22"/>
          <w:szCs w:val="22"/>
        </w:rPr>
        <w:t>eur minimale de cheminement de 1, 40m à 1, 20,</w:t>
      </w:r>
    </w:p>
    <w:p w:rsidR="00FA7560" w:rsidRDefault="00FA7560" w:rsidP="00FA7560">
      <w:pPr>
        <w:tabs>
          <w:tab w:val="left" w:pos="3075"/>
        </w:tabs>
        <w:rPr>
          <w:sz w:val="22"/>
          <w:szCs w:val="22"/>
        </w:rPr>
      </w:pPr>
    </w:p>
    <w:p w:rsidR="00FA7560" w:rsidRDefault="00FA7560" w:rsidP="00FA7560">
      <w:pPr>
        <w:pStyle w:val="Paragraphedeliste"/>
        <w:numPr>
          <w:ilvl w:val="0"/>
          <w:numId w:val="1"/>
        </w:numPr>
        <w:tabs>
          <w:tab w:val="left" w:pos="3075"/>
        </w:tabs>
        <w:rPr>
          <w:sz w:val="22"/>
          <w:szCs w:val="22"/>
        </w:rPr>
      </w:pPr>
      <w:r>
        <w:rPr>
          <w:sz w:val="22"/>
          <w:szCs w:val="22"/>
        </w:rPr>
        <w:t>La possibilité de poser sans dérogation une plate-forme élévatrice</w:t>
      </w:r>
    </w:p>
    <w:p w:rsidR="00406507" w:rsidRPr="00406507" w:rsidRDefault="00406507" w:rsidP="00406507">
      <w:pPr>
        <w:pStyle w:val="Paragraphedeliste"/>
        <w:rPr>
          <w:sz w:val="22"/>
          <w:szCs w:val="22"/>
        </w:rPr>
      </w:pPr>
    </w:p>
    <w:p w:rsidR="00406507" w:rsidRDefault="00406507" w:rsidP="00FA7560">
      <w:pPr>
        <w:pStyle w:val="Paragraphedeliste"/>
        <w:numPr>
          <w:ilvl w:val="0"/>
          <w:numId w:val="1"/>
        </w:numPr>
        <w:tabs>
          <w:tab w:val="left" w:pos="3075"/>
        </w:tabs>
        <w:rPr>
          <w:sz w:val="22"/>
          <w:szCs w:val="22"/>
        </w:rPr>
      </w:pPr>
      <w:r>
        <w:rPr>
          <w:sz w:val="22"/>
          <w:szCs w:val="22"/>
        </w:rPr>
        <w:t>La trop grande souplesse des critères permettant à un ERP de s’exonérer d’une mise en accessibilité pour les UFR (Utilisateurs de Fauteuil Roulant)</w:t>
      </w:r>
    </w:p>
    <w:p w:rsidR="00406507" w:rsidRPr="00406507" w:rsidRDefault="00406507" w:rsidP="00406507">
      <w:pPr>
        <w:pStyle w:val="Paragraphedeliste"/>
        <w:rPr>
          <w:sz w:val="22"/>
          <w:szCs w:val="22"/>
        </w:rPr>
      </w:pPr>
    </w:p>
    <w:p w:rsidR="00406507" w:rsidRDefault="00406507" w:rsidP="00FA7560">
      <w:pPr>
        <w:pStyle w:val="Paragraphedeliste"/>
        <w:numPr>
          <w:ilvl w:val="0"/>
          <w:numId w:val="1"/>
        </w:numPr>
        <w:tabs>
          <w:tab w:val="left" w:pos="3075"/>
        </w:tabs>
        <w:rPr>
          <w:sz w:val="22"/>
          <w:szCs w:val="22"/>
        </w:rPr>
      </w:pPr>
      <w:r>
        <w:rPr>
          <w:sz w:val="22"/>
          <w:szCs w:val="22"/>
        </w:rPr>
        <w:t>L’absence d’aire de giration dans les sas, ce qui peut provoquer de graves problèmes de sécurité pour les UFR.</w:t>
      </w:r>
    </w:p>
    <w:p w:rsidR="00406507" w:rsidRPr="00406507" w:rsidRDefault="00406507" w:rsidP="00406507">
      <w:pPr>
        <w:pStyle w:val="Paragraphedeliste"/>
        <w:rPr>
          <w:sz w:val="22"/>
          <w:szCs w:val="22"/>
        </w:rPr>
      </w:pPr>
    </w:p>
    <w:p w:rsidR="00406507" w:rsidRDefault="00406507" w:rsidP="00FA7560">
      <w:pPr>
        <w:pStyle w:val="Paragraphedeliste"/>
        <w:numPr>
          <w:ilvl w:val="0"/>
          <w:numId w:val="1"/>
        </w:numPr>
        <w:tabs>
          <w:tab w:val="left" w:pos="3075"/>
        </w:tabs>
        <w:rPr>
          <w:sz w:val="22"/>
          <w:szCs w:val="22"/>
        </w:rPr>
      </w:pPr>
      <w:r>
        <w:rPr>
          <w:sz w:val="22"/>
          <w:szCs w:val="22"/>
        </w:rPr>
        <w:t>L’absence de lavabo accessible dans les hôtels</w:t>
      </w:r>
    </w:p>
    <w:p w:rsidR="00406507" w:rsidRPr="00E81350" w:rsidRDefault="00406507" w:rsidP="00E81350">
      <w:pPr>
        <w:ind w:left="0" w:firstLine="0"/>
        <w:rPr>
          <w:sz w:val="22"/>
          <w:szCs w:val="22"/>
        </w:rPr>
      </w:pPr>
    </w:p>
    <w:p w:rsidR="00406507" w:rsidRDefault="00406507" w:rsidP="00FA7560">
      <w:pPr>
        <w:pStyle w:val="Paragraphedeliste"/>
        <w:numPr>
          <w:ilvl w:val="0"/>
          <w:numId w:val="1"/>
        </w:numPr>
        <w:tabs>
          <w:tab w:val="left" w:pos="3075"/>
        </w:tabs>
        <w:rPr>
          <w:sz w:val="22"/>
          <w:szCs w:val="22"/>
        </w:rPr>
      </w:pPr>
      <w:r>
        <w:rPr>
          <w:sz w:val="22"/>
          <w:szCs w:val="22"/>
        </w:rPr>
        <w:t xml:space="preserve">La nécessité que les </w:t>
      </w:r>
      <w:r w:rsidR="00B303B2">
        <w:rPr>
          <w:sz w:val="22"/>
          <w:szCs w:val="22"/>
        </w:rPr>
        <w:t>plates-formes</w:t>
      </w:r>
      <w:r>
        <w:rPr>
          <w:sz w:val="22"/>
          <w:szCs w:val="22"/>
        </w:rPr>
        <w:t xml:space="preserve"> élévatrices supportent un poids minimal d’au moins 320 kgs, au vu du poids des fauteuils électriques </w:t>
      </w:r>
      <w:r w:rsidR="006E3059">
        <w:rPr>
          <w:sz w:val="22"/>
          <w:szCs w:val="22"/>
        </w:rPr>
        <w:t>,</w:t>
      </w:r>
      <w:r>
        <w:rPr>
          <w:sz w:val="22"/>
          <w:szCs w:val="22"/>
        </w:rPr>
        <w:t xml:space="preserve">dont certains utilisateurs doivent être accompagnés d’une tierce personne pour utiliser cet équipement.  </w:t>
      </w:r>
    </w:p>
    <w:p w:rsidR="00B303B2" w:rsidRPr="00B303B2" w:rsidRDefault="00B303B2" w:rsidP="00B303B2">
      <w:pPr>
        <w:pStyle w:val="Paragraphedeliste"/>
        <w:rPr>
          <w:sz w:val="22"/>
          <w:szCs w:val="22"/>
        </w:rPr>
      </w:pPr>
    </w:p>
    <w:p w:rsidR="00291CD9" w:rsidRDefault="005A47C0" w:rsidP="00FA7560">
      <w:pPr>
        <w:pStyle w:val="Paragraphedeliste"/>
        <w:numPr>
          <w:ilvl w:val="0"/>
          <w:numId w:val="1"/>
        </w:numPr>
        <w:tabs>
          <w:tab w:val="left" w:pos="3075"/>
        </w:tabs>
        <w:rPr>
          <w:sz w:val="22"/>
          <w:szCs w:val="22"/>
        </w:rPr>
      </w:pPr>
      <w:r>
        <w:rPr>
          <w:sz w:val="22"/>
          <w:szCs w:val="22"/>
        </w:rPr>
        <w:t>Les nombreuses difficultés rencontrées par un utilisateur de fauteuil électrique, notamment en raison de la possibilité d’un chevauchement partiel de 25 cm de l’espace de débattement de porte sur l’aire de giration.</w:t>
      </w:r>
    </w:p>
    <w:p w:rsidR="00291CD9" w:rsidRPr="00291CD9" w:rsidRDefault="00291CD9" w:rsidP="00291CD9">
      <w:pPr>
        <w:pStyle w:val="Paragraphedeliste"/>
        <w:rPr>
          <w:sz w:val="22"/>
          <w:szCs w:val="22"/>
        </w:rPr>
      </w:pPr>
    </w:p>
    <w:p w:rsidR="004C7CA1" w:rsidRDefault="00291CD9" w:rsidP="00291CD9">
      <w:pPr>
        <w:pStyle w:val="Paragraphedeliste"/>
        <w:numPr>
          <w:ilvl w:val="0"/>
          <w:numId w:val="1"/>
        </w:numPr>
        <w:tabs>
          <w:tab w:val="left" w:pos="3075"/>
        </w:tabs>
        <w:rPr>
          <w:sz w:val="22"/>
          <w:szCs w:val="22"/>
        </w:rPr>
      </w:pPr>
      <w:r>
        <w:rPr>
          <w:sz w:val="22"/>
          <w:szCs w:val="22"/>
        </w:rPr>
        <w:t>L’absence de garde-co</w:t>
      </w:r>
      <w:r w:rsidR="004C7CA1">
        <w:rPr>
          <w:sz w:val="22"/>
          <w:szCs w:val="22"/>
        </w:rPr>
        <w:t xml:space="preserve">rps, de système anti-chute </w:t>
      </w:r>
      <w:r w:rsidR="0005409D">
        <w:rPr>
          <w:sz w:val="22"/>
          <w:szCs w:val="22"/>
        </w:rPr>
        <w:t>sur certains points de cheminement.</w:t>
      </w:r>
      <w:r>
        <w:rPr>
          <w:sz w:val="22"/>
          <w:szCs w:val="22"/>
        </w:rPr>
        <w:t xml:space="preserve"> </w:t>
      </w:r>
    </w:p>
    <w:p w:rsidR="004C7CA1" w:rsidRPr="004C7CA1" w:rsidRDefault="004C7CA1" w:rsidP="004C7CA1">
      <w:pPr>
        <w:pStyle w:val="Paragraphedeliste"/>
        <w:rPr>
          <w:sz w:val="22"/>
          <w:szCs w:val="22"/>
        </w:rPr>
      </w:pPr>
    </w:p>
    <w:p w:rsidR="00291CD9" w:rsidRDefault="004C7CA1" w:rsidP="00291CD9">
      <w:pPr>
        <w:pStyle w:val="Paragraphedeliste"/>
        <w:numPr>
          <w:ilvl w:val="0"/>
          <w:numId w:val="1"/>
        </w:numPr>
        <w:tabs>
          <w:tab w:val="left" w:pos="3075"/>
        </w:tabs>
        <w:rPr>
          <w:sz w:val="22"/>
          <w:szCs w:val="22"/>
        </w:rPr>
      </w:pPr>
      <w:r>
        <w:rPr>
          <w:sz w:val="22"/>
          <w:szCs w:val="22"/>
        </w:rPr>
        <w:t xml:space="preserve">L’absence de </w:t>
      </w:r>
      <w:r w:rsidR="00291CD9">
        <w:rPr>
          <w:sz w:val="22"/>
          <w:szCs w:val="22"/>
        </w:rPr>
        <w:t>BEV (Bande d’Eveil de Vigilance), notamment devant les tapis roulants, les escaliers mécaniques, et les plans inclinés mécaniques.</w:t>
      </w:r>
    </w:p>
    <w:p w:rsidR="009A7AE5" w:rsidRDefault="00291CD9" w:rsidP="00291CD9">
      <w:pPr>
        <w:tabs>
          <w:tab w:val="left" w:pos="3075"/>
        </w:tabs>
        <w:ind w:left="1776" w:firstLine="0"/>
        <w:rPr>
          <w:sz w:val="22"/>
          <w:szCs w:val="22"/>
        </w:rPr>
      </w:pPr>
      <w:r>
        <w:rPr>
          <w:sz w:val="22"/>
          <w:szCs w:val="22"/>
        </w:rPr>
        <w:t>Ces dispositifs devraient permettre une sécurisation des cheminements des personnes déficientes visuelles.</w:t>
      </w:r>
    </w:p>
    <w:p w:rsidR="009A7AE5" w:rsidRDefault="009A7AE5" w:rsidP="009A7AE5">
      <w:pPr>
        <w:tabs>
          <w:tab w:val="left" w:pos="3075"/>
        </w:tabs>
        <w:rPr>
          <w:sz w:val="22"/>
          <w:szCs w:val="22"/>
        </w:rPr>
      </w:pPr>
    </w:p>
    <w:p w:rsidR="009A7AE5" w:rsidRDefault="009A7AE5" w:rsidP="009A7AE5">
      <w:pPr>
        <w:pStyle w:val="Paragraphedeliste"/>
        <w:numPr>
          <w:ilvl w:val="0"/>
          <w:numId w:val="1"/>
        </w:numPr>
        <w:tabs>
          <w:tab w:val="left" w:pos="3075"/>
        </w:tabs>
        <w:rPr>
          <w:sz w:val="22"/>
          <w:szCs w:val="22"/>
        </w:rPr>
      </w:pPr>
      <w:r>
        <w:rPr>
          <w:sz w:val="22"/>
          <w:szCs w:val="22"/>
        </w:rPr>
        <w:t>Le fait qu’en cas de batterie d’ascenseur, un seul soit rendu accessible.</w:t>
      </w:r>
    </w:p>
    <w:p w:rsidR="009A7AE5" w:rsidRDefault="009A7AE5" w:rsidP="009A7AE5">
      <w:pPr>
        <w:pStyle w:val="Paragraphedeliste"/>
        <w:tabs>
          <w:tab w:val="left" w:pos="3075"/>
        </w:tabs>
        <w:ind w:left="1776" w:firstLine="0"/>
        <w:rPr>
          <w:sz w:val="22"/>
          <w:szCs w:val="22"/>
        </w:rPr>
      </w:pPr>
      <w:r>
        <w:rPr>
          <w:sz w:val="22"/>
          <w:szCs w:val="22"/>
        </w:rPr>
        <w:t>Comment une personne déficiente visuelle pourrait-elle savoir où se trouve l’ascenseur lui étant accessible ?</w:t>
      </w:r>
    </w:p>
    <w:p w:rsidR="009A7AE5" w:rsidRDefault="009A7AE5" w:rsidP="009A7AE5">
      <w:pPr>
        <w:tabs>
          <w:tab w:val="left" w:pos="3075"/>
        </w:tabs>
        <w:ind w:left="0" w:firstLine="0"/>
        <w:rPr>
          <w:sz w:val="22"/>
          <w:szCs w:val="22"/>
        </w:rPr>
      </w:pPr>
    </w:p>
    <w:p w:rsidR="009A4770" w:rsidRDefault="009A4770" w:rsidP="009A7AE5">
      <w:pPr>
        <w:pStyle w:val="Paragraphedeliste"/>
        <w:numPr>
          <w:ilvl w:val="0"/>
          <w:numId w:val="1"/>
        </w:numPr>
        <w:tabs>
          <w:tab w:val="left" w:pos="3075"/>
        </w:tabs>
        <w:rPr>
          <w:sz w:val="22"/>
          <w:szCs w:val="22"/>
        </w:rPr>
      </w:pPr>
      <w:r>
        <w:rPr>
          <w:sz w:val="22"/>
          <w:szCs w:val="22"/>
        </w:rPr>
        <w:t>L’absence de sanitaires accessibles dans les hôtels-bureaux</w:t>
      </w:r>
    </w:p>
    <w:p w:rsidR="009A4770" w:rsidRDefault="009A4770" w:rsidP="009A4770">
      <w:pPr>
        <w:tabs>
          <w:tab w:val="left" w:pos="3075"/>
        </w:tabs>
        <w:rPr>
          <w:sz w:val="22"/>
          <w:szCs w:val="22"/>
        </w:rPr>
      </w:pPr>
    </w:p>
    <w:p w:rsidR="009A4770" w:rsidRDefault="009A4770" w:rsidP="009A4770">
      <w:pPr>
        <w:pStyle w:val="Paragraphedeliste"/>
        <w:numPr>
          <w:ilvl w:val="0"/>
          <w:numId w:val="1"/>
        </w:numPr>
        <w:tabs>
          <w:tab w:val="left" w:pos="3075"/>
        </w:tabs>
        <w:rPr>
          <w:sz w:val="22"/>
          <w:szCs w:val="22"/>
        </w:rPr>
      </w:pPr>
      <w:r>
        <w:rPr>
          <w:sz w:val="22"/>
          <w:szCs w:val="22"/>
        </w:rPr>
        <w:t>L’absence de vie sociale satisfaisante pour les personnes déficientes auditives en raison de la faiblesse des prescriptions de BIM (Boucle d’Induction Magnétique.</w:t>
      </w:r>
    </w:p>
    <w:p w:rsidR="0019206B" w:rsidRDefault="009A4770" w:rsidP="009A4770">
      <w:pPr>
        <w:tabs>
          <w:tab w:val="left" w:pos="3075"/>
        </w:tabs>
        <w:ind w:left="1776" w:firstLine="0"/>
        <w:rPr>
          <w:sz w:val="22"/>
          <w:szCs w:val="22"/>
        </w:rPr>
      </w:pPr>
      <w:r>
        <w:rPr>
          <w:sz w:val="22"/>
          <w:szCs w:val="22"/>
        </w:rPr>
        <w:t xml:space="preserve">Seuls les accueils des ERP remplissant une mission de service public et </w:t>
      </w:r>
      <w:r w:rsidR="0019206B">
        <w:rPr>
          <w:sz w:val="22"/>
          <w:szCs w:val="22"/>
        </w:rPr>
        <w:t>ceux d</w:t>
      </w:r>
      <w:r>
        <w:rPr>
          <w:sz w:val="22"/>
          <w:szCs w:val="22"/>
        </w:rPr>
        <w:t>es ERP de 1</w:t>
      </w:r>
      <w:r w:rsidRPr="009A4770">
        <w:rPr>
          <w:sz w:val="22"/>
          <w:szCs w:val="22"/>
          <w:vertAlign w:val="superscript"/>
        </w:rPr>
        <w:t>ère</w:t>
      </w:r>
      <w:r>
        <w:rPr>
          <w:sz w:val="22"/>
          <w:szCs w:val="22"/>
        </w:rPr>
        <w:t xml:space="preserve"> et 2</w:t>
      </w:r>
      <w:r w:rsidRPr="009A4770">
        <w:rPr>
          <w:sz w:val="22"/>
          <w:szCs w:val="22"/>
          <w:vertAlign w:val="superscript"/>
        </w:rPr>
        <w:t>nde</w:t>
      </w:r>
      <w:r>
        <w:rPr>
          <w:sz w:val="22"/>
          <w:szCs w:val="22"/>
        </w:rPr>
        <w:t xml:space="preserve"> catégorie devraient être équipés, ainsi que les ERP disposant de plus de 3 salles de réunions d’une taille de 50 personnes.</w:t>
      </w:r>
    </w:p>
    <w:p w:rsidR="00B303B2" w:rsidRDefault="0019206B" w:rsidP="009A4770">
      <w:pPr>
        <w:tabs>
          <w:tab w:val="left" w:pos="3075"/>
        </w:tabs>
        <w:ind w:left="1776" w:firstLine="0"/>
        <w:rPr>
          <w:sz w:val="22"/>
          <w:szCs w:val="22"/>
        </w:rPr>
      </w:pPr>
      <w:r>
        <w:rPr>
          <w:sz w:val="22"/>
          <w:szCs w:val="22"/>
        </w:rPr>
        <w:lastRenderedPageBreak/>
        <w:t>Comment dans ces conditions pouvoir assister à un mariage, à une réunion d’un conseil municipal, à un colloque ?</w:t>
      </w:r>
    </w:p>
    <w:p w:rsidR="0019206B" w:rsidRDefault="0019206B" w:rsidP="0019206B">
      <w:pPr>
        <w:tabs>
          <w:tab w:val="left" w:pos="3075"/>
        </w:tabs>
        <w:rPr>
          <w:sz w:val="22"/>
          <w:szCs w:val="22"/>
        </w:rPr>
      </w:pPr>
    </w:p>
    <w:p w:rsidR="0019206B" w:rsidRDefault="0019206B" w:rsidP="0019206B">
      <w:pPr>
        <w:pStyle w:val="Paragraphedeliste"/>
        <w:numPr>
          <w:ilvl w:val="0"/>
          <w:numId w:val="1"/>
        </w:numPr>
        <w:tabs>
          <w:tab w:val="left" w:pos="3075"/>
        </w:tabs>
        <w:rPr>
          <w:sz w:val="22"/>
          <w:szCs w:val="22"/>
        </w:rPr>
      </w:pPr>
      <w:r>
        <w:rPr>
          <w:sz w:val="22"/>
          <w:szCs w:val="22"/>
        </w:rPr>
        <w:t>L’absence d’obligation de résultat pour les systèmes d’induction magnétique puisque le projet d’Arrêté prévoit un dispositif « conforme à la norme NF EN 60118-4 ou un système équivalent ».</w:t>
      </w:r>
    </w:p>
    <w:p w:rsidR="0019206B" w:rsidRDefault="0019206B" w:rsidP="0019206B">
      <w:pPr>
        <w:pStyle w:val="Paragraphedeliste"/>
        <w:tabs>
          <w:tab w:val="left" w:pos="3075"/>
        </w:tabs>
        <w:ind w:left="1776" w:firstLine="0"/>
        <w:rPr>
          <w:sz w:val="22"/>
          <w:szCs w:val="22"/>
        </w:rPr>
      </w:pPr>
      <w:r>
        <w:rPr>
          <w:sz w:val="22"/>
          <w:szCs w:val="22"/>
        </w:rPr>
        <w:t>La rédaction de cette disposition annihile de fait le respect de la Norme française, et d’obtenir un système efficace pour les personnes déficientes auditives.</w:t>
      </w:r>
    </w:p>
    <w:p w:rsidR="0019206B" w:rsidRDefault="0019206B" w:rsidP="0019206B">
      <w:pPr>
        <w:tabs>
          <w:tab w:val="left" w:pos="3075"/>
        </w:tabs>
        <w:rPr>
          <w:sz w:val="22"/>
          <w:szCs w:val="22"/>
        </w:rPr>
      </w:pPr>
    </w:p>
    <w:p w:rsidR="008A27A0" w:rsidRDefault="0019206B" w:rsidP="0019206B">
      <w:pPr>
        <w:pStyle w:val="Paragraphedeliste"/>
        <w:numPr>
          <w:ilvl w:val="0"/>
          <w:numId w:val="1"/>
        </w:numPr>
        <w:tabs>
          <w:tab w:val="left" w:pos="3075"/>
        </w:tabs>
        <w:rPr>
          <w:sz w:val="22"/>
          <w:szCs w:val="22"/>
        </w:rPr>
      </w:pPr>
      <w:r>
        <w:rPr>
          <w:sz w:val="22"/>
          <w:szCs w:val="22"/>
        </w:rPr>
        <w:t>L’absence de prise internet dans les salles de réunion, ce qui permettrait aux personnes déficientes auditives de bénéficier une traduction simultanée des échanges (le wifi ne garantit pas l’efficacité des connexions</w:t>
      </w:r>
      <w:r w:rsidR="00F56877">
        <w:rPr>
          <w:sz w:val="22"/>
          <w:szCs w:val="22"/>
        </w:rPr>
        <w:t xml:space="preserve"> pour une bonne retransmission des traductions</w:t>
      </w:r>
      <w:r>
        <w:rPr>
          <w:sz w:val="22"/>
          <w:szCs w:val="22"/>
        </w:rPr>
        <w:t>).</w:t>
      </w:r>
    </w:p>
    <w:p w:rsidR="008A27A0" w:rsidRDefault="008A27A0" w:rsidP="008A27A0">
      <w:pPr>
        <w:tabs>
          <w:tab w:val="left" w:pos="3075"/>
        </w:tabs>
        <w:rPr>
          <w:sz w:val="22"/>
          <w:szCs w:val="22"/>
        </w:rPr>
      </w:pPr>
    </w:p>
    <w:p w:rsidR="008A27A0" w:rsidRDefault="008A27A0" w:rsidP="008A27A0">
      <w:pPr>
        <w:pStyle w:val="Paragraphedeliste"/>
        <w:numPr>
          <w:ilvl w:val="0"/>
          <w:numId w:val="1"/>
        </w:numPr>
        <w:tabs>
          <w:tab w:val="left" w:pos="3075"/>
        </w:tabs>
        <w:rPr>
          <w:sz w:val="22"/>
          <w:szCs w:val="22"/>
        </w:rPr>
      </w:pPr>
      <w:r>
        <w:rPr>
          <w:sz w:val="22"/>
          <w:szCs w:val="22"/>
        </w:rPr>
        <w:t>L’absence, dans les hôtels, de notice informant sur l’activation du sous-titrage des postes de télévisions.</w:t>
      </w:r>
    </w:p>
    <w:p w:rsidR="008A27A0" w:rsidRPr="008A27A0" w:rsidRDefault="008A27A0" w:rsidP="008A27A0">
      <w:pPr>
        <w:pStyle w:val="Paragraphedeliste"/>
        <w:rPr>
          <w:sz w:val="22"/>
          <w:szCs w:val="22"/>
        </w:rPr>
      </w:pPr>
    </w:p>
    <w:p w:rsidR="008A27A0" w:rsidRDefault="008A27A0" w:rsidP="008A27A0">
      <w:pPr>
        <w:pStyle w:val="Paragraphedeliste"/>
        <w:numPr>
          <w:ilvl w:val="0"/>
          <w:numId w:val="1"/>
        </w:numPr>
        <w:tabs>
          <w:tab w:val="left" w:pos="3075"/>
        </w:tabs>
        <w:rPr>
          <w:sz w:val="22"/>
          <w:szCs w:val="22"/>
        </w:rPr>
      </w:pPr>
      <w:r>
        <w:rPr>
          <w:sz w:val="22"/>
          <w:szCs w:val="22"/>
        </w:rPr>
        <w:t>L’absence d’obligation d’activer le sous-titrage pour les postes de télévisions présents dans les ERP.</w:t>
      </w:r>
    </w:p>
    <w:p w:rsidR="001956E1" w:rsidRPr="001956E1" w:rsidRDefault="001956E1" w:rsidP="001956E1">
      <w:pPr>
        <w:tabs>
          <w:tab w:val="left" w:pos="3075"/>
        </w:tabs>
        <w:ind w:left="1776" w:firstLine="0"/>
        <w:rPr>
          <w:sz w:val="22"/>
          <w:szCs w:val="22"/>
        </w:rPr>
      </w:pPr>
      <w:r>
        <w:rPr>
          <w:sz w:val="22"/>
          <w:szCs w:val="22"/>
        </w:rPr>
        <w:t>Cependant, le CNCPH note avec intérêt que le Secrétariat d’Etat aux personnes handicapées</w:t>
      </w:r>
      <w:r w:rsidR="00432A67">
        <w:rPr>
          <w:sz w:val="22"/>
          <w:szCs w:val="22"/>
        </w:rPr>
        <w:t xml:space="preserve"> a annoncé lors de la présente séance, qu’il allait mettre fin à cette absence d’obligation.</w:t>
      </w:r>
    </w:p>
    <w:p w:rsidR="008A27A0" w:rsidRPr="008A27A0" w:rsidRDefault="008A27A0" w:rsidP="008A27A0">
      <w:pPr>
        <w:pStyle w:val="Paragraphedeliste"/>
        <w:rPr>
          <w:sz w:val="22"/>
          <w:szCs w:val="22"/>
        </w:rPr>
      </w:pPr>
    </w:p>
    <w:p w:rsidR="0019206B" w:rsidRDefault="008A27A0" w:rsidP="008A27A0">
      <w:pPr>
        <w:pStyle w:val="Paragraphedeliste"/>
        <w:numPr>
          <w:ilvl w:val="0"/>
          <w:numId w:val="1"/>
        </w:numPr>
        <w:tabs>
          <w:tab w:val="left" w:pos="3075"/>
        </w:tabs>
        <w:rPr>
          <w:sz w:val="22"/>
          <w:szCs w:val="22"/>
        </w:rPr>
      </w:pPr>
      <w:r>
        <w:rPr>
          <w:sz w:val="22"/>
          <w:szCs w:val="22"/>
        </w:rPr>
        <w:t xml:space="preserve">L’absence de recommandation concrète pour la formalisation de pictogramme, alors que cette prescription est éminemment nécessaire pour les personnes déficientes intellectuelles entre autres. </w:t>
      </w:r>
      <w:r w:rsidR="0019206B" w:rsidRPr="008A27A0">
        <w:rPr>
          <w:sz w:val="22"/>
          <w:szCs w:val="22"/>
        </w:rPr>
        <w:t xml:space="preserve">  </w:t>
      </w:r>
    </w:p>
    <w:p w:rsidR="008A27A0" w:rsidRPr="008A27A0" w:rsidRDefault="008A27A0" w:rsidP="008A27A0">
      <w:pPr>
        <w:pStyle w:val="Paragraphedeliste"/>
        <w:rPr>
          <w:sz w:val="22"/>
          <w:szCs w:val="22"/>
        </w:rPr>
      </w:pPr>
    </w:p>
    <w:p w:rsidR="008A27A0" w:rsidRDefault="00AA0F99" w:rsidP="008A27A0">
      <w:pPr>
        <w:pStyle w:val="Paragraphedeliste"/>
        <w:numPr>
          <w:ilvl w:val="0"/>
          <w:numId w:val="1"/>
        </w:numPr>
        <w:tabs>
          <w:tab w:val="left" w:pos="3075"/>
        </w:tabs>
        <w:rPr>
          <w:sz w:val="22"/>
          <w:szCs w:val="22"/>
        </w:rPr>
      </w:pPr>
      <w:r>
        <w:rPr>
          <w:sz w:val="22"/>
          <w:szCs w:val="22"/>
        </w:rPr>
        <w:t>L’absence d’obligation d’avoir une signalétique homogène et continue, alors qu’il s’agit d’un besoin fondamental pour les personnes déficientes intellectuelles.</w:t>
      </w:r>
    </w:p>
    <w:p w:rsidR="005B3471" w:rsidRPr="005B3471" w:rsidRDefault="005B3471" w:rsidP="005B3471">
      <w:pPr>
        <w:pStyle w:val="Paragraphedeliste"/>
        <w:rPr>
          <w:sz w:val="22"/>
          <w:szCs w:val="22"/>
        </w:rPr>
      </w:pPr>
    </w:p>
    <w:p w:rsidR="005B3471" w:rsidRDefault="005B3471" w:rsidP="008A27A0">
      <w:pPr>
        <w:pStyle w:val="Paragraphedeliste"/>
        <w:numPr>
          <w:ilvl w:val="0"/>
          <w:numId w:val="1"/>
        </w:numPr>
        <w:tabs>
          <w:tab w:val="left" w:pos="3075"/>
        </w:tabs>
        <w:rPr>
          <w:sz w:val="22"/>
          <w:szCs w:val="22"/>
        </w:rPr>
      </w:pPr>
      <w:r>
        <w:rPr>
          <w:sz w:val="22"/>
          <w:szCs w:val="22"/>
        </w:rPr>
        <w:t>Etc.</w:t>
      </w:r>
    </w:p>
    <w:p w:rsidR="005B3471" w:rsidRDefault="005B3471" w:rsidP="005B3471">
      <w:pPr>
        <w:tabs>
          <w:tab w:val="left" w:pos="3075"/>
        </w:tabs>
        <w:ind w:left="0" w:firstLine="0"/>
        <w:rPr>
          <w:sz w:val="22"/>
          <w:szCs w:val="22"/>
        </w:rPr>
      </w:pPr>
    </w:p>
    <w:p w:rsidR="005B3471" w:rsidRDefault="005B3471" w:rsidP="005B3471">
      <w:pPr>
        <w:tabs>
          <w:tab w:val="left" w:pos="3075"/>
        </w:tabs>
        <w:ind w:left="0" w:firstLine="0"/>
        <w:rPr>
          <w:sz w:val="22"/>
          <w:szCs w:val="22"/>
        </w:rPr>
      </w:pPr>
    </w:p>
    <w:p w:rsidR="005B3471" w:rsidRPr="00066336" w:rsidRDefault="006E3059" w:rsidP="005B3471">
      <w:pPr>
        <w:pStyle w:val="Paragraphedeliste"/>
        <w:numPr>
          <w:ilvl w:val="0"/>
          <w:numId w:val="8"/>
        </w:numPr>
        <w:tabs>
          <w:tab w:val="left" w:pos="3075"/>
        </w:tabs>
        <w:rPr>
          <w:sz w:val="22"/>
          <w:szCs w:val="22"/>
          <w:u w:val="single"/>
        </w:rPr>
      </w:pPr>
      <w:r>
        <w:rPr>
          <w:sz w:val="22"/>
          <w:szCs w:val="22"/>
          <w:u w:val="single"/>
        </w:rPr>
        <w:t>Les projets de décret et d’a</w:t>
      </w:r>
      <w:r w:rsidR="005B3471" w:rsidRPr="00066336">
        <w:rPr>
          <w:sz w:val="22"/>
          <w:szCs w:val="22"/>
          <w:u w:val="single"/>
        </w:rPr>
        <w:t>rrêtés relatifs aux ADAP et SDA-ADAP</w:t>
      </w:r>
    </w:p>
    <w:p w:rsidR="005B3471" w:rsidRDefault="005B3471" w:rsidP="005B3471">
      <w:pPr>
        <w:tabs>
          <w:tab w:val="left" w:pos="3075"/>
        </w:tabs>
        <w:ind w:left="0" w:firstLine="0"/>
        <w:rPr>
          <w:sz w:val="22"/>
          <w:szCs w:val="22"/>
        </w:rPr>
      </w:pPr>
    </w:p>
    <w:p w:rsidR="00C73D41" w:rsidRDefault="005B3471" w:rsidP="005B3471">
      <w:pPr>
        <w:tabs>
          <w:tab w:val="left" w:pos="3075"/>
        </w:tabs>
        <w:ind w:left="0" w:firstLine="0"/>
        <w:rPr>
          <w:sz w:val="22"/>
          <w:szCs w:val="22"/>
        </w:rPr>
      </w:pPr>
      <w:r>
        <w:rPr>
          <w:sz w:val="22"/>
          <w:szCs w:val="22"/>
        </w:rPr>
        <w:t>Eu égard à l’avis formul</w:t>
      </w:r>
      <w:r w:rsidR="006E3059">
        <w:rPr>
          <w:sz w:val="22"/>
          <w:szCs w:val="22"/>
        </w:rPr>
        <w:t>é précédemment sur le projet d’o</w:t>
      </w:r>
      <w:r>
        <w:rPr>
          <w:sz w:val="22"/>
          <w:szCs w:val="22"/>
        </w:rPr>
        <w:t xml:space="preserve">rdonnance quant à sa trop grande souplesse, le CNCPH réitère ses </w:t>
      </w:r>
      <w:r w:rsidR="006E3059">
        <w:rPr>
          <w:sz w:val="22"/>
          <w:szCs w:val="22"/>
        </w:rPr>
        <w:t>remarques quant aux projets de décret et d’a</w:t>
      </w:r>
      <w:r>
        <w:rPr>
          <w:sz w:val="22"/>
          <w:szCs w:val="22"/>
        </w:rPr>
        <w:t>rrêté afférents (</w:t>
      </w:r>
      <w:r w:rsidR="00C73D41">
        <w:rPr>
          <w:sz w:val="22"/>
          <w:szCs w:val="22"/>
        </w:rPr>
        <w:t>Cf. Voir la suspension du délai de dépôt d’ADAP, le projet inique en matière de transport, etc.).</w:t>
      </w:r>
    </w:p>
    <w:p w:rsidR="00C73D41" w:rsidRDefault="00C73D41" w:rsidP="005B3471">
      <w:pPr>
        <w:tabs>
          <w:tab w:val="left" w:pos="3075"/>
        </w:tabs>
        <w:ind w:left="0" w:firstLine="0"/>
        <w:rPr>
          <w:sz w:val="22"/>
          <w:szCs w:val="22"/>
        </w:rPr>
      </w:pPr>
    </w:p>
    <w:p w:rsidR="00C73D41" w:rsidRDefault="006E3059" w:rsidP="005B3471">
      <w:pPr>
        <w:tabs>
          <w:tab w:val="left" w:pos="3075"/>
        </w:tabs>
        <w:ind w:left="0" w:firstLine="0"/>
        <w:rPr>
          <w:sz w:val="22"/>
          <w:szCs w:val="22"/>
        </w:rPr>
      </w:pPr>
      <w:r>
        <w:rPr>
          <w:sz w:val="22"/>
          <w:szCs w:val="22"/>
        </w:rPr>
        <w:t>Concernant les projets d’a</w:t>
      </w:r>
      <w:r w:rsidR="00C73D41">
        <w:rPr>
          <w:sz w:val="22"/>
          <w:szCs w:val="22"/>
        </w:rPr>
        <w:t>rrêtés relatifs aux ratios budgétaires permettant aux gestionnaires d’ERP et de services de transports publics d’obtenir une période supplémentaire pour leur ADAP, le CNCPH signale :</w:t>
      </w:r>
    </w:p>
    <w:p w:rsidR="006E3059" w:rsidRDefault="006E3059" w:rsidP="005B3471">
      <w:pPr>
        <w:tabs>
          <w:tab w:val="left" w:pos="3075"/>
        </w:tabs>
        <w:ind w:left="0" w:firstLine="0"/>
        <w:rPr>
          <w:sz w:val="22"/>
          <w:szCs w:val="22"/>
        </w:rPr>
      </w:pPr>
    </w:p>
    <w:p w:rsidR="005B3471" w:rsidRDefault="00C73D41" w:rsidP="00C73D41">
      <w:pPr>
        <w:pStyle w:val="Paragraphedeliste"/>
        <w:numPr>
          <w:ilvl w:val="0"/>
          <w:numId w:val="1"/>
        </w:numPr>
        <w:tabs>
          <w:tab w:val="left" w:pos="3075"/>
        </w:tabs>
        <w:rPr>
          <w:sz w:val="22"/>
          <w:szCs w:val="22"/>
        </w:rPr>
      </w:pPr>
      <w:r>
        <w:rPr>
          <w:sz w:val="22"/>
          <w:szCs w:val="22"/>
        </w:rPr>
        <w:t xml:space="preserve">La faiblesse des seuils prévus (sur une échelle nationale : nombre de communes d’implantation supérieur ou égal à 30, </w:t>
      </w:r>
      <w:r w:rsidR="005B3471" w:rsidRPr="00C73D41">
        <w:rPr>
          <w:sz w:val="22"/>
          <w:szCs w:val="22"/>
        </w:rPr>
        <w:t xml:space="preserve"> </w:t>
      </w:r>
      <w:r>
        <w:rPr>
          <w:sz w:val="22"/>
          <w:szCs w:val="22"/>
        </w:rPr>
        <w:t>ou nombre de bâtiments concernés supérieur ou égal à 50).</w:t>
      </w:r>
    </w:p>
    <w:p w:rsidR="00C73D41" w:rsidRDefault="00C73D41" w:rsidP="00C73D41">
      <w:pPr>
        <w:pStyle w:val="Paragraphedeliste"/>
        <w:tabs>
          <w:tab w:val="left" w:pos="3075"/>
        </w:tabs>
        <w:ind w:left="1776" w:firstLine="0"/>
        <w:rPr>
          <w:sz w:val="22"/>
          <w:szCs w:val="22"/>
        </w:rPr>
      </w:pPr>
      <w:r>
        <w:rPr>
          <w:sz w:val="22"/>
          <w:szCs w:val="22"/>
        </w:rPr>
        <w:t>Cette disposition permettrait automatiquement aux grands groupes commerciaux et grands gestionnaires d’ERP publics de bénéficier automatiquement d’une période de 9 ans.</w:t>
      </w:r>
    </w:p>
    <w:p w:rsidR="006E3059" w:rsidRDefault="006E3059" w:rsidP="00C73D41">
      <w:pPr>
        <w:pStyle w:val="Paragraphedeliste"/>
        <w:tabs>
          <w:tab w:val="left" w:pos="3075"/>
        </w:tabs>
        <w:ind w:left="1776" w:firstLine="0"/>
        <w:rPr>
          <w:sz w:val="22"/>
          <w:szCs w:val="22"/>
        </w:rPr>
      </w:pPr>
    </w:p>
    <w:p w:rsidR="00C73D41" w:rsidRPr="00C73D41" w:rsidRDefault="00C73D41" w:rsidP="00C73D41">
      <w:pPr>
        <w:pStyle w:val="Paragraphedeliste"/>
        <w:numPr>
          <w:ilvl w:val="0"/>
          <w:numId w:val="1"/>
        </w:numPr>
        <w:tabs>
          <w:tab w:val="left" w:pos="3075"/>
        </w:tabs>
        <w:rPr>
          <w:sz w:val="22"/>
          <w:szCs w:val="22"/>
        </w:rPr>
      </w:pPr>
      <w:r>
        <w:rPr>
          <w:sz w:val="22"/>
          <w:szCs w:val="22"/>
        </w:rPr>
        <w:t xml:space="preserve">Le caractère difficilement compréhensible </w:t>
      </w:r>
      <w:r w:rsidR="005E785F">
        <w:rPr>
          <w:sz w:val="22"/>
          <w:szCs w:val="22"/>
        </w:rPr>
        <w:t>des critères suivants : « </w:t>
      </w:r>
      <w:r w:rsidR="005E785F" w:rsidRPr="005E785F">
        <w:rPr>
          <w:i/>
          <w:sz w:val="22"/>
          <w:szCs w:val="22"/>
        </w:rPr>
        <w:t xml:space="preserve">l’intervention des entreprises en charge des actions de mise en </w:t>
      </w:r>
      <w:r w:rsidR="005E785F" w:rsidRPr="005E785F">
        <w:rPr>
          <w:i/>
          <w:sz w:val="22"/>
          <w:szCs w:val="22"/>
        </w:rPr>
        <w:lastRenderedPageBreak/>
        <w:t>accessibilité n’est pas possible compte tenu d’exigences de continuité de service pendant plus de 25 % de la période prévue normalement en moyenne</w:t>
      </w:r>
      <w:r w:rsidR="005E785F">
        <w:rPr>
          <w:sz w:val="22"/>
          <w:szCs w:val="22"/>
        </w:rPr>
        <w:t> » ; ou « </w:t>
      </w:r>
      <w:r w:rsidR="005E785F" w:rsidRPr="005E785F">
        <w:rPr>
          <w:i/>
          <w:sz w:val="22"/>
          <w:szCs w:val="22"/>
        </w:rPr>
        <w:t>pendant plus de 20 % de la durée de deux périodes de durée maximale</w:t>
      </w:r>
      <w:r w:rsidR="005E785F">
        <w:rPr>
          <w:sz w:val="22"/>
          <w:szCs w:val="22"/>
        </w:rPr>
        <w:t> ».</w:t>
      </w:r>
    </w:p>
    <w:p w:rsidR="00C11DDF" w:rsidRDefault="00C11DDF" w:rsidP="005E785F">
      <w:pPr>
        <w:tabs>
          <w:tab w:val="left" w:pos="3075"/>
        </w:tabs>
        <w:ind w:left="0" w:firstLine="0"/>
        <w:rPr>
          <w:sz w:val="22"/>
          <w:szCs w:val="22"/>
        </w:rPr>
      </w:pPr>
    </w:p>
    <w:p w:rsidR="005E785F" w:rsidRDefault="005E785F" w:rsidP="005E785F">
      <w:pPr>
        <w:tabs>
          <w:tab w:val="left" w:pos="3075"/>
        </w:tabs>
        <w:ind w:left="0" w:firstLine="0"/>
        <w:rPr>
          <w:sz w:val="22"/>
          <w:szCs w:val="22"/>
        </w:rPr>
      </w:pPr>
    </w:p>
    <w:p w:rsidR="005E785F" w:rsidRDefault="005E785F" w:rsidP="005E785F">
      <w:pPr>
        <w:tabs>
          <w:tab w:val="left" w:pos="3075"/>
        </w:tabs>
        <w:ind w:left="0" w:firstLine="0"/>
        <w:rPr>
          <w:sz w:val="22"/>
          <w:szCs w:val="22"/>
        </w:rPr>
      </w:pPr>
    </w:p>
    <w:p w:rsidR="005E785F" w:rsidRDefault="005E785F" w:rsidP="005E785F">
      <w:pPr>
        <w:tabs>
          <w:tab w:val="left" w:pos="3075"/>
        </w:tabs>
        <w:ind w:left="0" w:firstLine="0"/>
        <w:rPr>
          <w:sz w:val="22"/>
          <w:szCs w:val="22"/>
        </w:rPr>
      </w:pPr>
    </w:p>
    <w:p w:rsidR="00622150" w:rsidRDefault="005E785F" w:rsidP="005E785F">
      <w:pPr>
        <w:tabs>
          <w:tab w:val="left" w:pos="3075"/>
        </w:tabs>
        <w:ind w:left="0" w:firstLine="0"/>
        <w:rPr>
          <w:sz w:val="22"/>
          <w:szCs w:val="22"/>
        </w:rPr>
      </w:pPr>
      <w:r w:rsidRPr="008A305F">
        <w:rPr>
          <w:b/>
          <w:sz w:val="22"/>
          <w:szCs w:val="22"/>
        </w:rPr>
        <w:t>En conclusion</w:t>
      </w:r>
      <w:r>
        <w:rPr>
          <w:sz w:val="22"/>
          <w:szCs w:val="22"/>
        </w:rPr>
        <w:t xml:space="preserve">, </w:t>
      </w:r>
      <w:r w:rsidR="00622150">
        <w:rPr>
          <w:sz w:val="22"/>
          <w:szCs w:val="22"/>
        </w:rPr>
        <w:t>l’avis et la motion du 11 mars 2014, au sein desquels le CNCPH prenait acte du dispositif des ADAP tout en formulant de vives préoccupations, illustrai</w:t>
      </w:r>
      <w:r w:rsidR="00114ED3">
        <w:rPr>
          <w:sz w:val="22"/>
          <w:szCs w:val="22"/>
        </w:rPr>
        <w:t>en</w:t>
      </w:r>
      <w:r w:rsidR="00622150">
        <w:rPr>
          <w:sz w:val="22"/>
          <w:szCs w:val="22"/>
        </w:rPr>
        <w:t>t qu’il n’existait aucune opposition de principe aux projet</w:t>
      </w:r>
      <w:r w:rsidR="00344038">
        <w:rPr>
          <w:sz w:val="22"/>
          <w:szCs w:val="22"/>
        </w:rPr>
        <w:t>s</w:t>
      </w:r>
      <w:r w:rsidR="00622150">
        <w:rPr>
          <w:sz w:val="22"/>
          <w:szCs w:val="22"/>
        </w:rPr>
        <w:t xml:space="preserve"> contenu</w:t>
      </w:r>
      <w:r w:rsidR="00344038">
        <w:rPr>
          <w:sz w:val="22"/>
          <w:szCs w:val="22"/>
        </w:rPr>
        <w:t>s</w:t>
      </w:r>
      <w:r w:rsidR="00622150">
        <w:rPr>
          <w:sz w:val="22"/>
          <w:szCs w:val="22"/>
        </w:rPr>
        <w:t xml:space="preserve"> dans la loi d’habilitation.</w:t>
      </w:r>
      <w:r w:rsidR="00F94F1E">
        <w:rPr>
          <w:sz w:val="22"/>
          <w:szCs w:val="22"/>
        </w:rPr>
        <w:t xml:space="preserve"> </w:t>
      </w:r>
      <w:r w:rsidR="00267AE3">
        <w:rPr>
          <w:sz w:val="22"/>
          <w:szCs w:val="22"/>
        </w:rPr>
        <w:t>Il s’agissait aussi de reconnaître que le dispositif ne consistait pas en un report « sec », mais en un report conditionné tout en maintenant l’échéance légale de 2015.</w:t>
      </w:r>
    </w:p>
    <w:p w:rsidR="006E3059" w:rsidRDefault="006E3059" w:rsidP="005E785F">
      <w:pPr>
        <w:tabs>
          <w:tab w:val="left" w:pos="3075"/>
        </w:tabs>
        <w:ind w:left="0" w:firstLine="0"/>
        <w:rPr>
          <w:sz w:val="22"/>
          <w:szCs w:val="22"/>
        </w:rPr>
      </w:pPr>
    </w:p>
    <w:p w:rsidR="005E785F" w:rsidRDefault="00622150" w:rsidP="005E785F">
      <w:pPr>
        <w:tabs>
          <w:tab w:val="left" w:pos="3075"/>
        </w:tabs>
        <w:ind w:left="0" w:firstLine="0"/>
        <w:rPr>
          <w:sz w:val="22"/>
          <w:szCs w:val="22"/>
        </w:rPr>
      </w:pPr>
      <w:r>
        <w:rPr>
          <w:sz w:val="22"/>
          <w:szCs w:val="22"/>
        </w:rPr>
        <w:t xml:space="preserve">Ainsi, </w:t>
      </w:r>
      <w:r w:rsidR="00920B8B">
        <w:rPr>
          <w:sz w:val="22"/>
          <w:szCs w:val="22"/>
        </w:rPr>
        <w:t>le CNCPH attendait</w:t>
      </w:r>
      <w:r w:rsidR="006E3059">
        <w:rPr>
          <w:sz w:val="22"/>
          <w:szCs w:val="22"/>
        </w:rPr>
        <w:t xml:space="preserve"> de ce projet d’o</w:t>
      </w:r>
      <w:r w:rsidR="009E327F">
        <w:rPr>
          <w:sz w:val="22"/>
          <w:szCs w:val="22"/>
        </w:rPr>
        <w:t>rdonnance et des projets de textes afférents, à ce qu’il</w:t>
      </w:r>
      <w:r w:rsidR="00920B8B">
        <w:rPr>
          <w:sz w:val="22"/>
          <w:szCs w:val="22"/>
        </w:rPr>
        <w:t>s</w:t>
      </w:r>
      <w:r w:rsidR="009E327F">
        <w:rPr>
          <w:sz w:val="22"/>
          <w:szCs w:val="22"/>
        </w:rPr>
        <w:t xml:space="preserve"> puisse</w:t>
      </w:r>
      <w:r w:rsidR="00920B8B">
        <w:rPr>
          <w:sz w:val="22"/>
          <w:szCs w:val="22"/>
        </w:rPr>
        <w:t>nt</w:t>
      </w:r>
      <w:r w:rsidR="009E327F">
        <w:rPr>
          <w:sz w:val="22"/>
          <w:szCs w:val="22"/>
        </w:rPr>
        <w:t xml:space="preserve"> réellement se saisir </w:t>
      </w:r>
      <w:r w:rsidR="00920B8B">
        <w:rPr>
          <w:sz w:val="22"/>
          <w:szCs w:val="22"/>
        </w:rPr>
        <w:t>du caractère historique de concrétiser enfin un droit d’aller et de venir après deux lois inappliquées en l’espace de 40 ans.</w:t>
      </w:r>
    </w:p>
    <w:p w:rsidR="006E3059" w:rsidRDefault="006E3059" w:rsidP="005E785F">
      <w:pPr>
        <w:tabs>
          <w:tab w:val="left" w:pos="3075"/>
        </w:tabs>
        <w:ind w:left="0" w:firstLine="0"/>
        <w:rPr>
          <w:sz w:val="22"/>
          <w:szCs w:val="22"/>
        </w:rPr>
      </w:pPr>
    </w:p>
    <w:p w:rsidR="00775F6A" w:rsidRDefault="00775F6A" w:rsidP="005E785F">
      <w:pPr>
        <w:tabs>
          <w:tab w:val="left" w:pos="3075"/>
        </w:tabs>
        <w:ind w:left="0" w:firstLine="0"/>
        <w:rPr>
          <w:sz w:val="22"/>
          <w:szCs w:val="22"/>
        </w:rPr>
      </w:pPr>
      <w:r>
        <w:rPr>
          <w:sz w:val="22"/>
          <w:szCs w:val="22"/>
        </w:rPr>
        <w:t>Les maigres avancées (obligation de formation initiale pour les personnes d’ERP en contact avec le public, obligation de délibération annuelle des AOT sur la mise en accessibilité du réseau, la hauteur des équipements installés en hauteur dans les hôtels, etc.) ne représentent aucun poids par rapport aux nombreux et vastes reculs prévus dans ces projets de texte.</w:t>
      </w:r>
    </w:p>
    <w:p w:rsidR="00267AE3" w:rsidRDefault="00267AE3" w:rsidP="005E785F">
      <w:pPr>
        <w:tabs>
          <w:tab w:val="left" w:pos="3075"/>
        </w:tabs>
        <w:ind w:left="0" w:firstLine="0"/>
        <w:rPr>
          <w:sz w:val="22"/>
          <w:szCs w:val="22"/>
        </w:rPr>
      </w:pPr>
    </w:p>
    <w:p w:rsidR="00267AE3" w:rsidRDefault="00267AE3" w:rsidP="005E785F">
      <w:pPr>
        <w:tabs>
          <w:tab w:val="left" w:pos="3075"/>
        </w:tabs>
        <w:ind w:left="0" w:firstLine="0"/>
        <w:rPr>
          <w:sz w:val="22"/>
          <w:szCs w:val="22"/>
        </w:rPr>
      </w:pPr>
      <w:r>
        <w:rPr>
          <w:sz w:val="22"/>
          <w:szCs w:val="22"/>
        </w:rPr>
        <w:t>Le CNCPH demande par ailleurs d’être tenu informé régulièrement des suites données aux différents points soulevés dans l’avis.</w:t>
      </w:r>
    </w:p>
    <w:p w:rsidR="00267AE3" w:rsidRDefault="00267AE3" w:rsidP="005E785F">
      <w:pPr>
        <w:tabs>
          <w:tab w:val="left" w:pos="3075"/>
        </w:tabs>
        <w:ind w:left="0" w:firstLine="0"/>
        <w:rPr>
          <w:sz w:val="22"/>
          <w:szCs w:val="22"/>
        </w:rPr>
      </w:pPr>
    </w:p>
    <w:p w:rsidR="00267AE3" w:rsidRDefault="00267AE3" w:rsidP="00267AE3">
      <w:pPr>
        <w:tabs>
          <w:tab w:val="left" w:pos="3075"/>
        </w:tabs>
        <w:ind w:left="0" w:firstLine="0"/>
        <w:rPr>
          <w:sz w:val="22"/>
          <w:szCs w:val="22"/>
        </w:rPr>
      </w:pPr>
      <w:r>
        <w:rPr>
          <w:sz w:val="22"/>
          <w:szCs w:val="22"/>
        </w:rPr>
        <w:t>Le CNCPH note pour autant avec intérêt les annonces du Secrétariat d’Etat aux personnes handicapées,</w:t>
      </w:r>
      <w:r w:rsidR="008A305F">
        <w:rPr>
          <w:sz w:val="22"/>
          <w:szCs w:val="22"/>
        </w:rPr>
        <w:t xml:space="preserve"> lors de la c</w:t>
      </w:r>
      <w:r>
        <w:rPr>
          <w:sz w:val="22"/>
          <w:szCs w:val="22"/>
        </w:rPr>
        <w:t>ommission permanente du mercredi 9 juillet et de la séance de ce jo</w:t>
      </w:r>
      <w:r w:rsidR="008A305F">
        <w:rPr>
          <w:sz w:val="22"/>
          <w:szCs w:val="22"/>
        </w:rPr>
        <w:t>ur, pour améliorer le projet d’o</w:t>
      </w:r>
      <w:r>
        <w:rPr>
          <w:sz w:val="22"/>
          <w:szCs w:val="22"/>
        </w:rPr>
        <w:t xml:space="preserve">rdonnance (suppression du report </w:t>
      </w:r>
      <w:r>
        <w:rPr>
          <w:i/>
          <w:sz w:val="22"/>
          <w:szCs w:val="22"/>
        </w:rPr>
        <w:t xml:space="preserve">sine die </w:t>
      </w:r>
      <w:r>
        <w:rPr>
          <w:sz w:val="22"/>
          <w:szCs w:val="22"/>
        </w:rPr>
        <w:t xml:space="preserve">du dépôt d’ADAP, augmentation du montant des sanctions pour les ERP isolés pour non-dépôt d’ADAP, l’accord explicite et motivé de l’autorité administrative pour les demandes de dépassement de période, etc.). </w:t>
      </w:r>
    </w:p>
    <w:p w:rsidR="00267AE3" w:rsidRDefault="00267AE3" w:rsidP="00267AE3">
      <w:pPr>
        <w:tabs>
          <w:tab w:val="left" w:pos="3075"/>
        </w:tabs>
        <w:ind w:left="0" w:firstLine="0"/>
        <w:rPr>
          <w:sz w:val="22"/>
          <w:szCs w:val="22"/>
        </w:rPr>
      </w:pPr>
      <w:r>
        <w:rPr>
          <w:sz w:val="22"/>
          <w:szCs w:val="22"/>
        </w:rPr>
        <w:t xml:space="preserve">Cependant, malgré les progrès représentés, ces mesures demeurent encore insuffisantes pour rééquilibrer substantiellement l’économie générale du dispositif. Ainsi, d’aucuns estiment que la loi n°2005-102 du 11 février 2005 a désormais vécu avec la perte de son ambition initiale. </w:t>
      </w:r>
    </w:p>
    <w:p w:rsidR="008A305F" w:rsidRDefault="008A305F" w:rsidP="00267AE3">
      <w:pPr>
        <w:tabs>
          <w:tab w:val="left" w:pos="3075"/>
        </w:tabs>
        <w:ind w:left="0" w:firstLine="0"/>
        <w:rPr>
          <w:sz w:val="22"/>
          <w:szCs w:val="22"/>
        </w:rPr>
      </w:pPr>
    </w:p>
    <w:p w:rsidR="00920B8B" w:rsidRDefault="00920B8B" w:rsidP="005E785F">
      <w:pPr>
        <w:tabs>
          <w:tab w:val="left" w:pos="3075"/>
        </w:tabs>
        <w:ind w:left="0" w:firstLine="0"/>
        <w:rPr>
          <w:sz w:val="22"/>
          <w:szCs w:val="22"/>
        </w:rPr>
      </w:pPr>
      <w:r>
        <w:rPr>
          <w:sz w:val="22"/>
          <w:szCs w:val="22"/>
        </w:rPr>
        <w:t>En dépit d’un lourd passif, de cette demande sociale considérable et malgré la ratification par la France de la Convention internationale des droits des personnes handicapées, force est de constater que ces projets demeurent par trop éloignés de l’ambition d’une société enfin inclusive.</w:t>
      </w:r>
    </w:p>
    <w:p w:rsidR="006E3059" w:rsidRDefault="006E3059" w:rsidP="005E785F">
      <w:pPr>
        <w:tabs>
          <w:tab w:val="left" w:pos="3075"/>
        </w:tabs>
        <w:ind w:left="0" w:firstLine="0"/>
        <w:rPr>
          <w:sz w:val="22"/>
          <w:szCs w:val="22"/>
        </w:rPr>
      </w:pPr>
    </w:p>
    <w:p w:rsidR="00920B8B" w:rsidRPr="005E785F" w:rsidRDefault="00920B8B" w:rsidP="005E785F">
      <w:pPr>
        <w:tabs>
          <w:tab w:val="left" w:pos="3075"/>
        </w:tabs>
        <w:ind w:left="0" w:firstLine="0"/>
        <w:rPr>
          <w:sz w:val="22"/>
          <w:szCs w:val="22"/>
        </w:rPr>
      </w:pPr>
      <w:r>
        <w:rPr>
          <w:sz w:val="22"/>
          <w:szCs w:val="22"/>
        </w:rPr>
        <w:t xml:space="preserve">En conséquence, </w:t>
      </w:r>
      <w:r w:rsidRPr="004D28EE">
        <w:rPr>
          <w:sz w:val="22"/>
          <w:szCs w:val="22"/>
        </w:rPr>
        <w:t>le CNCPH émet un avis défavorable</w:t>
      </w:r>
      <w:r>
        <w:rPr>
          <w:sz w:val="22"/>
          <w:szCs w:val="22"/>
        </w:rPr>
        <w:t xml:space="preserve"> à ce projet d’Ordonnance et aux projets de textes afférents.</w:t>
      </w:r>
    </w:p>
    <w:sectPr w:rsidR="00920B8B" w:rsidRPr="005E785F" w:rsidSect="00B31C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BB" w:rsidRDefault="001C0EBB" w:rsidP="00A44FBF">
      <w:r>
        <w:separator/>
      </w:r>
    </w:p>
  </w:endnote>
  <w:endnote w:type="continuationSeparator" w:id="0">
    <w:p w:rsidR="001C0EBB" w:rsidRDefault="001C0EBB" w:rsidP="00A4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44" w:rsidRDefault="0080434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33F7A">
      <w:rPr>
        <w:rFonts w:asciiTheme="minorHAnsi" w:eastAsiaTheme="minorEastAsia" w:hAnsiTheme="minorHAnsi" w:cstheme="minorBidi"/>
      </w:rPr>
      <w:fldChar w:fldCharType="begin"/>
    </w:r>
    <w:r>
      <w:instrText>PAGE   \* MERGEFORMAT</w:instrText>
    </w:r>
    <w:r w:rsidR="00033F7A">
      <w:rPr>
        <w:rFonts w:asciiTheme="minorHAnsi" w:eastAsiaTheme="minorEastAsia" w:hAnsiTheme="minorHAnsi" w:cstheme="minorBidi"/>
      </w:rPr>
      <w:fldChar w:fldCharType="separate"/>
    </w:r>
    <w:r w:rsidR="00EE53FD" w:rsidRPr="00EE53FD">
      <w:rPr>
        <w:rFonts w:asciiTheme="majorHAnsi" w:eastAsiaTheme="majorEastAsia" w:hAnsiTheme="majorHAnsi" w:cstheme="majorBidi"/>
        <w:noProof/>
      </w:rPr>
      <w:t>1</w:t>
    </w:r>
    <w:r w:rsidR="00033F7A">
      <w:rPr>
        <w:rFonts w:asciiTheme="majorHAnsi" w:eastAsiaTheme="majorEastAsia" w:hAnsiTheme="majorHAnsi" w:cstheme="majorBidi"/>
      </w:rPr>
      <w:fldChar w:fldCharType="end"/>
    </w:r>
  </w:p>
  <w:p w:rsidR="00802B40" w:rsidRDefault="00802B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BB" w:rsidRDefault="001C0EBB" w:rsidP="00A44FBF">
      <w:r>
        <w:separator/>
      </w:r>
    </w:p>
  </w:footnote>
  <w:footnote w:type="continuationSeparator" w:id="0">
    <w:p w:rsidR="001C0EBB" w:rsidRDefault="001C0EBB" w:rsidP="00A44FBF">
      <w:r>
        <w:continuationSeparator/>
      </w:r>
    </w:p>
  </w:footnote>
  <w:footnote w:id="1">
    <w:p w:rsidR="00892E92" w:rsidRPr="00E45322" w:rsidRDefault="00892E92" w:rsidP="00892E92">
      <w:pPr>
        <w:autoSpaceDE w:val="0"/>
        <w:autoSpaceDN w:val="0"/>
        <w:adjustRightInd w:val="0"/>
        <w:spacing w:after="120"/>
        <w:rPr>
          <w:sz w:val="16"/>
          <w:szCs w:val="16"/>
        </w:rPr>
      </w:pPr>
      <w:r>
        <w:rPr>
          <w:rStyle w:val="Appelnotedebasdep"/>
        </w:rPr>
        <w:footnoteRef/>
      </w:r>
      <w:r>
        <w:t xml:space="preserve"> </w:t>
      </w:r>
      <w:r w:rsidR="00E45322">
        <w:rPr>
          <w:sz w:val="16"/>
          <w:szCs w:val="16"/>
        </w:rPr>
        <w:t>et ce alors que</w:t>
      </w:r>
      <w:r w:rsidRPr="00E45322">
        <w:rPr>
          <w:b/>
          <w:sz w:val="16"/>
          <w:szCs w:val="16"/>
        </w:rPr>
        <w:t xml:space="preserve"> Christophe Sirugue, rapporteur du projet de loi d’habilitation, a bien rappelé que l’Ordonnance se devait de respecter la volonté du législateur</w:t>
      </w:r>
      <w:r w:rsidRPr="00E45322">
        <w:rPr>
          <w:sz w:val="16"/>
          <w:szCs w:val="16"/>
        </w:rPr>
        <w:t xml:space="preserve"> avec le principe intangible de déposer un ADAP dans un délai maximum de 12 mois après la publication de ladite Ordonnance (Intervention à l’Assemblée nationale en tant que rapporteur le 26 juin 2014).</w:t>
      </w:r>
    </w:p>
    <w:p w:rsidR="00892E92" w:rsidRDefault="00892E92" w:rsidP="00892E9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141"/>
    <w:multiLevelType w:val="hybridMultilevel"/>
    <w:tmpl w:val="022CD162"/>
    <w:lvl w:ilvl="0" w:tplc="FA66BB74">
      <w:start w:val="2"/>
      <w:numFmt w:val="bullet"/>
      <w:lvlText w:val="-"/>
      <w:lvlJc w:val="left"/>
      <w:pPr>
        <w:ind w:left="1776" w:hanging="360"/>
      </w:pPr>
      <w:rPr>
        <w:rFonts w:ascii="Arial" w:eastAsia="Times New Roman"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2D5E3735"/>
    <w:multiLevelType w:val="hybridMultilevel"/>
    <w:tmpl w:val="072C63E8"/>
    <w:lvl w:ilvl="0" w:tplc="452403E6">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171EC8"/>
    <w:multiLevelType w:val="hybridMultilevel"/>
    <w:tmpl w:val="CD3887B6"/>
    <w:lvl w:ilvl="0" w:tplc="7A58015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C443403"/>
    <w:multiLevelType w:val="hybridMultilevel"/>
    <w:tmpl w:val="45623884"/>
    <w:lvl w:ilvl="0" w:tplc="4658FA2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43A000E4"/>
    <w:multiLevelType w:val="hybridMultilevel"/>
    <w:tmpl w:val="934C732A"/>
    <w:lvl w:ilvl="0" w:tplc="E474DCA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233270"/>
    <w:multiLevelType w:val="hybridMultilevel"/>
    <w:tmpl w:val="5144F610"/>
    <w:lvl w:ilvl="0" w:tplc="BC4EAE24">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6">
    <w:nsid w:val="5AD4389A"/>
    <w:multiLevelType w:val="hybridMultilevel"/>
    <w:tmpl w:val="53182B10"/>
    <w:lvl w:ilvl="0" w:tplc="6B8EADD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61584740"/>
    <w:multiLevelType w:val="hybridMultilevel"/>
    <w:tmpl w:val="274E68EE"/>
    <w:lvl w:ilvl="0" w:tplc="28FA620E">
      <w:start w:val="3"/>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BF"/>
    <w:rsid w:val="00006D5D"/>
    <w:rsid w:val="00032C65"/>
    <w:rsid w:val="00033F7A"/>
    <w:rsid w:val="00044055"/>
    <w:rsid w:val="0005000F"/>
    <w:rsid w:val="000535F9"/>
    <w:rsid w:val="0005409D"/>
    <w:rsid w:val="00066336"/>
    <w:rsid w:val="00087830"/>
    <w:rsid w:val="00095002"/>
    <w:rsid w:val="000A669E"/>
    <w:rsid w:val="000B0150"/>
    <w:rsid w:val="000C735A"/>
    <w:rsid w:val="0011148D"/>
    <w:rsid w:val="00114ED3"/>
    <w:rsid w:val="00142C1D"/>
    <w:rsid w:val="0015464F"/>
    <w:rsid w:val="0017054A"/>
    <w:rsid w:val="00174290"/>
    <w:rsid w:val="0019206B"/>
    <w:rsid w:val="001956E1"/>
    <w:rsid w:val="001A28E6"/>
    <w:rsid w:val="001A2CA6"/>
    <w:rsid w:val="001A3A4D"/>
    <w:rsid w:val="001B3ED1"/>
    <w:rsid w:val="001C00C6"/>
    <w:rsid w:val="001C0EBB"/>
    <w:rsid w:val="001F50E7"/>
    <w:rsid w:val="00204BF8"/>
    <w:rsid w:val="00225325"/>
    <w:rsid w:val="002264B5"/>
    <w:rsid w:val="00244E79"/>
    <w:rsid w:val="00264EC0"/>
    <w:rsid w:val="00267AE3"/>
    <w:rsid w:val="00291CD9"/>
    <w:rsid w:val="00297AE7"/>
    <w:rsid w:val="002F49B8"/>
    <w:rsid w:val="00320A4B"/>
    <w:rsid w:val="00344038"/>
    <w:rsid w:val="00392809"/>
    <w:rsid w:val="00395A67"/>
    <w:rsid w:val="003A39F6"/>
    <w:rsid w:val="003B78C9"/>
    <w:rsid w:val="003E57EB"/>
    <w:rsid w:val="003E593B"/>
    <w:rsid w:val="003E652D"/>
    <w:rsid w:val="00406507"/>
    <w:rsid w:val="0041063E"/>
    <w:rsid w:val="00425400"/>
    <w:rsid w:val="00432A67"/>
    <w:rsid w:val="00446630"/>
    <w:rsid w:val="00450221"/>
    <w:rsid w:val="004523AA"/>
    <w:rsid w:val="0046035F"/>
    <w:rsid w:val="00463ADD"/>
    <w:rsid w:val="004A728F"/>
    <w:rsid w:val="004C7CA1"/>
    <w:rsid w:val="004D28EE"/>
    <w:rsid w:val="004E247D"/>
    <w:rsid w:val="004F4063"/>
    <w:rsid w:val="005115EC"/>
    <w:rsid w:val="005212FD"/>
    <w:rsid w:val="00541776"/>
    <w:rsid w:val="00553233"/>
    <w:rsid w:val="00574418"/>
    <w:rsid w:val="005745FE"/>
    <w:rsid w:val="005A47C0"/>
    <w:rsid w:val="005B3471"/>
    <w:rsid w:val="005E75C6"/>
    <w:rsid w:val="005E785F"/>
    <w:rsid w:val="00605138"/>
    <w:rsid w:val="00605BC4"/>
    <w:rsid w:val="00610EB4"/>
    <w:rsid w:val="00622150"/>
    <w:rsid w:val="00624D68"/>
    <w:rsid w:val="0067159F"/>
    <w:rsid w:val="00674C2E"/>
    <w:rsid w:val="00677B87"/>
    <w:rsid w:val="006803D3"/>
    <w:rsid w:val="00686F0A"/>
    <w:rsid w:val="0069724E"/>
    <w:rsid w:val="006B7F4C"/>
    <w:rsid w:val="006C0589"/>
    <w:rsid w:val="006C541F"/>
    <w:rsid w:val="006D1411"/>
    <w:rsid w:val="006E3059"/>
    <w:rsid w:val="00705623"/>
    <w:rsid w:val="00710B08"/>
    <w:rsid w:val="00724C8A"/>
    <w:rsid w:val="0076324C"/>
    <w:rsid w:val="00764F61"/>
    <w:rsid w:val="00775846"/>
    <w:rsid w:val="00775F6A"/>
    <w:rsid w:val="007961A8"/>
    <w:rsid w:val="007C5CC4"/>
    <w:rsid w:val="007C6B92"/>
    <w:rsid w:val="007F5EAB"/>
    <w:rsid w:val="00800385"/>
    <w:rsid w:val="00802B40"/>
    <w:rsid w:val="00804344"/>
    <w:rsid w:val="00820486"/>
    <w:rsid w:val="008258C5"/>
    <w:rsid w:val="00860DFE"/>
    <w:rsid w:val="00875196"/>
    <w:rsid w:val="00891E80"/>
    <w:rsid w:val="00892E92"/>
    <w:rsid w:val="008A27A0"/>
    <w:rsid w:val="008A305F"/>
    <w:rsid w:val="008B0F92"/>
    <w:rsid w:val="008C5148"/>
    <w:rsid w:val="008D6D11"/>
    <w:rsid w:val="008E5933"/>
    <w:rsid w:val="00901157"/>
    <w:rsid w:val="009119D5"/>
    <w:rsid w:val="00920966"/>
    <w:rsid w:val="00920B8B"/>
    <w:rsid w:val="00936927"/>
    <w:rsid w:val="00936DFB"/>
    <w:rsid w:val="009459AE"/>
    <w:rsid w:val="00973E66"/>
    <w:rsid w:val="00980526"/>
    <w:rsid w:val="009974EA"/>
    <w:rsid w:val="009A4770"/>
    <w:rsid w:val="009A7AE5"/>
    <w:rsid w:val="009C560D"/>
    <w:rsid w:val="009E2BE7"/>
    <w:rsid w:val="009E327F"/>
    <w:rsid w:val="00A00398"/>
    <w:rsid w:val="00A40852"/>
    <w:rsid w:val="00A44FBF"/>
    <w:rsid w:val="00A55874"/>
    <w:rsid w:val="00AA0F99"/>
    <w:rsid w:val="00B0478C"/>
    <w:rsid w:val="00B303B2"/>
    <w:rsid w:val="00B31CFD"/>
    <w:rsid w:val="00B54D8A"/>
    <w:rsid w:val="00B65F73"/>
    <w:rsid w:val="00B72CBE"/>
    <w:rsid w:val="00B735FD"/>
    <w:rsid w:val="00BD0E77"/>
    <w:rsid w:val="00BE2B4A"/>
    <w:rsid w:val="00BE657B"/>
    <w:rsid w:val="00BF3129"/>
    <w:rsid w:val="00BF6CAE"/>
    <w:rsid w:val="00C11DDF"/>
    <w:rsid w:val="00C13548"/>
    <w:rsid w:val="00C17A7D"/>
    <w:rsid w:val="00C34AF6"/>
    <w:rsid w:val="00C678BA"/>
    <w:rsid w:val="00C70001"/>
    <w:rsid w:val="00C73D41"/>
    <w:rsid w:val="00C75F04"/>
    <w:rsid w:val="00C76AF8"/>
    <w:rsid w:val="00C80823"/>
    <w:rsid w:val="00C957CB"/>
    <w:rsid w:val="00CA5E18"/>
    <w:rsid w:val="00CB0E03"/>
    <w:rsid w:val="00CC0363"/>
    <w:rsid w:val="00D129EF"/>
    <w:rsid w:val="00D32185"/>
    <w:rsid w:val="00D63A61"/>
    <w:rsid w:val="00D66DD9"/>
    <w:rsid w:val="00D717ED"/>
    <w:rsid w:val="00D8245D"/>
    <w:rsid w:val="00D952F9"/>
    <w:rsid w:val="00DA29A7"/>
    <w:rsid w:val="00DB0F7A"/>
    <w:rsid w:val="00DE73EE"/>
    <w:rsid w:val="00E02F89"/>
    <w:rsid w:val="00E3262D"/>
    <w:rsid w:val="00E37DE5"/>
    <w:rsid w:val="00E45322"/>
    <w:rsid w:val="00E70BE0"/>
    <w:rsid w:val="00E81350"/>
    <w:rsid w:val="00E97962"/>
    <w:rsid w:val="00EE53FD"/>
    <w:rsid w:val="00EF4BD9"/>
    <w:rsid w:val="00F07B55"/>
    <w:rsid w:val="00F35254"/>
    <w:rsid w:val="00F37B0E"/>
    <w:rsid w:val="00F4396D"/>
    <w:rsid w:val="00F56877"/>
    <w:rsid w:val="00F70610"/>
    <w:rsid w:val="00F71C12"/>
    <w:rsid w:val="00F739F9"/>
    <w:rsid w:val="00F77B23"/>
    <w:rsid w:val="00F94F1E"/>
    <w:rsid w:val="00F97FF5"/>
    <w:rsid w:val="00FA344A"/>
    <w:rsid w:val="00FA7560"/>
    <w:rsid w:val="00FE701C"/>
    <w:rsid w:val="00FF2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BF"/>
    <w:rPr>
      <w:rFonts w:ascii="Arial" w:eastAsia="Times New Roman" w:hAnsi="Arial"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44FBF"/>
    <w:rPr>
      <w:color w:val="0000FF"/>
      <w:u w:val="single"/>
    </w:rPr>
  </w:style>
  <w:style w:type="paragraph" w:styleId="Notedebasdepage">
    <w:name w:val="footnote text"/>
    <w:basedOn w:val="Normal"/>
    <w:link w:val="NotedebasdepageCar"/>
    <w:semiHidden/>
    <w:rsid w:val="00A44FBF"/>
    <w:rPr>
      <w:rFonts w:ascii="Times New Roman" w:hAnsi="Times New Roman"/>
      <w:sz w:val="20"/>
      <w:szCs w:val="20"/>
    </w:rPr>
  </w:style>
  <w:style w:type="character" w:customStyle="1" w:styleId="NotedebasdepageCar">
    <w:name w:val="Note de bas de page Car"/>
    <w:basedOn w:val="Policepardfaut"/>
    <w:link w:val="Notedebasdepage"/>
    <w:semiHidden/>
    <w:rsid w:val="00A44FBF"/>
    <w:rPr>
      <w:rFonts w:ascii="Times New Roman" w:eastAsia="Times New Roman" w:hAnsi="Times New Roman" w:cs="Times New Roman"/>
      <w:sz w:val="20"/>
      <w:szCs w:val="20"/>
      <w:lang w:eastAsia="fr-FR"/>
    </w:rPr>
  </w:style>
  <w:style w:type="character" w:styleId="Appelnotedebasdep">
    <w:name w:val="footnote reference"/>
    <w:semiHidden/>
    <w:rsid w:val="00A44FBF"/>
    <w:rPr>
      <w:vertAlign w:val="superscript"/>
    </w:rPr>
  </w:style>
  <w:style w:type="paragraph" w:styleId="Paragraphedeliste">
    <w:name w:val="List Paragraph"/>
    <w:basedOn w:val="Normal"/>
    <w:uiPriority w:val="34"/>
    <w:qFormat/>
    <w:rsid w:val="00A44FBF"/>
    <w:pPr>
      <w:ind w:left="708"/>
    </w:pPr>
  </w:style>
  <w:style w:type="paragraph" w:styleId="En-tte">
    <w:name w:val="header"/>
    <w:basedOn w:val="Normal"/>
    <w:link w:val="En-tteCar"/>
    <w:uiPriority w:val="99"/>
    <w:unhideWhenUsed/>
    <w:rsid w:val="00802B40"/>
    <w:pPr>
      <w:tabs>
        <w:tab w:val="center" w:pos="4536"/>
        <w:tab w:val="right" w:pos="9072"/>
      </w:tabs>
    </w:pPr>
  </w:style>
  <w:style w:type="character" w:customStyle="1" w:styleId="En-tteCar">
    <w:name w:val="En-tête Car"/>
    <w:basedOn w:val="Policepardfaut"/>
    <w:link w:val="En-tte"/>
    <w:uiPriority w:val="99"/>
    <w:rsid w:val="00802B40"/>
    <w:rPr>
      <w:rFonts w:ascii="Arial" w:eastAsia="Times New Roman" w:hAnsi="Arial" w:cs="Times New Roman"/>
      <w:sz w:val="18"/>
      <w:szCs w:val="18"/>
      <w:lang w:eastAsia="fr-FR"/>
    </w:rPr>
  </w:style>
  <w:style w:type="paragraph" w:styleId="Pieddepage">
    <w:name w:val="footer"/>
    <w:basedOn w:val="Normal"/>
    <w:link w:val="PieddepageCar"/>
    <w:uiPriority w:val="99"/>
    <w:unhideWhenUsed/>
    <w:rsid w:val="00802B40"/>
    <w:pPr>
      <w:tabs>
        <w:tab w:val="center" w:pos="4536"/>
        <w:tab w:val="right" w:pos="9072"/>
      </w:tabs>
    </w:pPr>
  </w:style>
  <w:style w:type="character" w:customStyle="1" w:styleId="PieddepageCar">
    <w:name w:val="Pied de page Car"/>
    <w:basedOn w:val="Policepardfaut"/>
    <w:link w:val="Pieddepage"/>
    <w:uiPriority w:val="99"/>
    <w:rsid w:val="00802B40"/>
    <w:rPr>
      <w:rFonts w:ascii="Arial" w:eastAsia="Times New Roman" w:hAnsi="Arial" w:cs="Times New Roman"/>
      <w:sz w:val="18"/>
      <w:szCs w:val="18"/>
      <w:lang w:eastAsia="fr-FR"/>
    </w:rPr>
  </w:style>
  <w:style w:type="paragraph" w:styleId="Notedefin">
    <w:name w:val="endnote text"/>
    <w:basedOn w:val="Normal"/>
    <w:link w:val="NotedefinCar"/>
    <w:uiPriority w:val="99"/>
    <w:semiHidden/>
    <w:unhideWhenUsed/>
    <w:rsid w:val="0011148D"/>
    <w:rPr>
      <w:sz w:val="20"/>
      <w:szCs w:val="20"/>
    </w:rPr>
  </w:style>
  <w:style w:type="character" w:customStyle="1" w:styleId="NotedefinCar">
    <w:name w:val="Note de fin Car"/>
    <w:basedOn w:val="Policepardfaut"/>
    <w:link w:val="Notedefin"/>
    <w:uiPriority w:val="99"/>
    <w:semiHidden/>
    <w:rsid w:val="0011148D"/>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11148D"/>
    <w:rPr>
      <w:vertAlign w:val="superscript"/>
    </w:rPr>
  </w:style>
  <w:style w:type="paragraph" w:styleId="Textedebulles">
    <w:name w:val="Balloon Text"/>
    <w:basedOn w:val="Normal"/>
    <w:link w:val="TextedebullesCar"/>
    <w:uiPriority w:val="99"/>
    <w:semiHidden/>
    <w:unhideWhenUsed/>
    <w:rsid w:val="009974EA"/>
    <w:rPr>
      <w:rFonts w:ascii="Tahoma" w:hAnsi="Tahoma" w:cs="Tahoma"/>
      <w:sz w:val="16"/>
      <w:szCs w:val="16"/>
    </w:rPr>
  </w:style>
  <w:style w:type="character" w:customStyle="1" w:styleId="TextedebullesCar">
    <w:name w:val="Texte de bulles Car"/>
    <w:basedOn w:val="Policepardfaut"/>
    <w:link w:val="Textedebulles"/>
    <w:uiPriority w:val="99"/>
    <w:semiHidden/>
    <w:rsid w:val="009974E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BF"/>
    <w:rPr>
      <w:rFonts w:ascii="Arial" w:eastAsia="Times New Roman" w:hAnsi="Arial"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44FBF"/>
    <w:rPr>
      <w:color w:val="0000FF"/>
      <w:u w:val="single"/>
    </w:rPr>
  </w:style>
  <w:style w:type="paragraph" w:styleId="Notedebasdepage">
    <w:name w:val="footnote text"/>
    <w:basedOn w:val="Normal"/>
    <w:link w:val="NotedebasdepageCar"/>
    <w:semiHidden/>
    <w:rsid w:val="00A44FBF"/>
    <w:rPr>
      <w:rFonts w:ascii="Times New Roman" w:hAnsi="Times New Roman"/>
      <w:sz w:val="20"/>
      <w:szCs w:val="20"/>
    </w:rPr>
  </w:style>
  <w:style w:type="character" w:customStyle="1" w:styleId="NotedebasdepageCar">
    <w:name w:val="Note de bas de page Car"/>
    <w:basedOn w:val="Policepardfaut"/>
    <w:link w:val="Notedebasdepage"/>
    <w:semiHidden/>
    <w:rsid w:val="00A44FBF"/>
    <w:rPr>
      <w:rFonts w:ascii="Times New Roman" w:eastAsia="Times New Roman" w:hAnsi="Times New Roman" w:cs="Times New Roman"/>
      <w:sz w:val="20"/>
      <w:szCs w:val="20"/>
      <w:lang w:eastAsia="fr-FR"/>
    </w:rPr>
  </w:style>
  <w:style w:type="character" w:styleId="Appelnotedebasdep">
    <w:name w:val="footnote reference"/>
    <w:semiHidden/>
    <w:rsid w:val="00A44FBF"/>
    <w:rPr>
      <w:vertAlign w:val="superscript"/>
    </w:rPr>
  </w:style>
  <w:style w:type="paragraph" w:styleId="Paragraphedeliste">
    <w:name w:val="List Paragraph"/>
    <w:basedOn w:val="Normal"/>
    <w:uiPriority w:val="34"/>
    <w:qFormat/>
    <w:rsid w:val="00A44FBF"/>
    <w:pPr>
      <w:ind w:left="708"/>
    </w:pPr>
  </w:style>
  <w:style w:type="paragraph" w:styleId="En-tte">
    <w:name w:val="header"/>
    <w:basedOn w:val="Normal"/>
    <w:link w:val="En-tteCar"/>
    <w:uiPriority w:val="99"/>
    <w:unhideWhenUsed/>
    <w:rsid w:val="00802B40"/>
    <w:pPr>
      <w:tabs>
        <w:tab w:val="center" w:pos="4536"/>
        <w:tab w:val="right" w:pos="9072"/>
      </w:tabs>
    </w:pPr>
  </w:style>
  <w:style w:type="character" w:customStyle="1" w:styleId="En-tteCar">
    <w:name w:val="En-tête Car"/>
    <w:basedOn w:val="Policepardfaut"/>
    <w:link w:val="En-tte"/>
    <w:uiPriority w:val="99"/>
    <w:rsid w:val="00802B40"/>
    <w:rPr>
      <w:rFonts w:ascii="Arial" w:eastAsia="Times New Roman" w:hAnsi="Arial" w:cs="Times New Roman"/>
      <w:sz w:val="18"/>
      <w:szCs w:val="18"/>
      <w:lang w:eastAsia="fr-FR"/>
    </w:rPr>
  </w:style>
  <w:style w:type="paragraph" w:styleId="Pieddepage">
    <w:name w:val="footer"/>
    <w:basedOn w:val="Normal"/>
    <w:link w:val="PieddepageCar"/>
    <w:uiPriority w:val="99"/>
    <w:unhideWhenUsed/>
    <w:rsid w:val="00802B40"/>
    <w:pPr>
      <w:tabs>
        <w:tab w:val="center" w:pos="4536"/>
        <w:tab w:val="right" w:pos="9072"/>
      </w:tabs>
    </w:pPr>
  </w:style>
  <w:style w:type="character" w:customStyle="1" w:styleId="PieddepageCar">
    <w:name w:val="Pied de page Car"/>
    <w:basedOn w:val="Policepardfaut"/>
    <w:link w:val="Pieddepage"/>
    <w:uiPriority w:val="99"/>
    <w:rsid w:val="00802B40"/>
    <w:rPr>
      <w:rFonts w:ascii="Arial" w:eastAsia="Times New Roman" w:hAnsi="Arial" w:cs="Times New Roman"/>
      <w:sz w:val="18"/>
      <w:szCs w:val="18"/>
      <w:lang w:eastAsia="fr-FR"/>
    </w:rPr>
  </w:style>
  <w:style w:type="paragraph" w:styleId="Notedefin">
    <w:name w:val="endnote text"/>
    <w:basedOn w:val="Normal"/>
    <w:link w:val="NotedefinCar"/>
    <w:uiPriority w:val="99"/>
    <w:semiHidden/>
    <w:unhideWhenUsed/>
    <w:rsid w:val="0011148D"/>
    <w:rPr>
      <w:sz w:val="20"/>
      <w:szCs w:val="20"/>
    </w:rPr>
  </w:style>
  <w:style w:type="character" w:customStyle="1" w:styleId="NotedefinCar">
    <w:name w:val="Note de fin Car"/>
    <w:basedOn w:val="Policepardfaut"/>
    <w:link w:val="Notedefin"/>
    <w:uiPriority w:val="99"/>
    <w:semiHidden/>
    <w:rsid w:val="0011148D"/>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11148D"/>
    <w:rPr>
      <w:vertAlign w:val="superscript"/>
    </w:rPr>
  </w:style>
  <w:style w:type="paragraph" w:styleId="Textedebulles">
    <w:name w:val="Balloon Text"/>
    <w:basedOn w:val="Normal"/>
    <w:link w:val="TextedebullesCar"/>
    <w:uiPriority w:val="99"/>
    <w:semiHidden/>
    <w:unhideWhenUsed/>
    <w:rsid w:val="009974EA"/>
    <w:rPr>
      <w:rFonts w:ascii="Tahoma" w:hAnsi="Tahoma" w:cs="Tahoma"/>
      <w:sz w:val="16"/>
      <w:szCs w:val="16"/>
    </w:rPr>
  </w:style>
  <w:style w:type="character" w:customStyle="1" w:styleId="TextedebullesCar">
    <w:name w:val="Texte de bulles Car"/>
    <w:basedOn w:val="Policepardfaut"/>
    <w:link w:val="Textedebulles"/>
    <w:uiPriority w:val="99"/>
    <w:semiHidden/>
    <w:rsid w:val="009974E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ccessibili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F726-CD0A-41BE-8399-DB9224B5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3931</Words>
  <Characters>22682</Characters>
  <Application>Microsoft Office Word</Application>
  <DocSecurity>0</DocSecurity>
  <Lines>397</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Nicolas.Merille</dc:creator>
  <cp:lastModifiedBy>Nicolas.Merille</cp:lastModifiedBy>
  <cp:revision>2</cp:revision>
  <cp:lastPrinted>2014-07-02T15:52:00Z</cp:lastPrinted>
  <dcterms:created xsi:type="dcterms:W3CDTF">2014-07-18T09:27:00Z</dcterms:created>
  <dcterms:modified xsi:type="dcterms:W3CDTF">2014-07-18T09:27:00Z</dcterms:modified>
</cp:coreProperties>
</file>