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6" w:rsidRDefault="00946466" w:rsidP="00D01066">
      <w:pPr>
        <w:ind w:hanging="1134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fr-FR"/>
        </w:rPr>
        <w:drawing>
          <wp:inline distT="0" distB="0" distL="0" distR="0" wp14:anchorId="4C1DB20F" wp14:editId="2A44D9B2">
            <wp:extent cx="7086600" cy="1107281"/>
            <wp:effectExtent l="0" t="0" r="0" b="0"/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29" cy="11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53" w:rsidRPr="00860708" w:rsidRDefault="00404953" w:rsidP="00D01066">
      <w:pPr>
        <w:ind w:hanging="1134"/>
        <w:rPr>
          <w:rFonts w:ascii="Calibri" w:hAnsi="Calibri"/>
        </w:rPr>
      </w:pPr>
    </w:p>
    <w:p w:rsidR="00946466" w:rsidRPr="00404953" w:rsidRDefault="00946466" w:rsidP="00404953">
      <w:pPr>
        <w:shd w:val="clear" w:color="auto" w:fill="3366FF"/>
        <w:spacing w:after="0" w:line="240" w:lineRule="auto"/>
        <w:ind w:left="-709"/>
        <w:rPr>
          <w:rFonts w:ascii="Calibri" w:hAnsi="Calibri"/>
          <w:b/>
          <w:bCs/>
          <w:color w:val="FFFFFF"/>
          <w:sz w:val="32"/>
          <w:szCs w:val="32"/>
        </w:rPr>
      </w:pPr>
      <w:r w:rsidRPr="00404953">
        <w:rPr>
          <w:rFonts w:ascii="Calibri" w:hAnsi="Calibri"/>
          <w:b/>
          <w:bCs/>
          <w:color w:val="FFFFFF"/>
          <w:sz w:val="32"/>
          <w:szCs w:val="32"/>
        </w:rPr>
        <w:t xml:space="preserve">Les nouvelles du mouvement des personnes handicapées </w:t>
      </w:r>
    </w:p>
    <w:p w:rsidR="00946466" w:rsidRDefault="00946466" w:rsidP="00404953">
      <w:pPr>
        <w:shd w:val="clear" w:color="auto" w:fill="3366FF"/>
        <w:spacing w:after="0" w:line="240" w:lineRule="auto"/>
        <w:ind w:left="-709"/>
        <w:rPr>
          <w:rFonts w:ascii="Calibri" w:hAnsi="Calibri"/>
          <w:b/>
          <w:bCs/>
          <w:color w:val="FFFFFF"/>
          <w:sz w:val="32"/>
          <w:szCs w:val="32"/>
        </w:rPr>
      </w:pPr>
      <w:r w:rsidRPr="00404953">
        <w:rPr>
          <w:rFonts w:ascii="Calibri" w:hAnsi="Calibri"/>
          <w:b/>
          <w:bCs/>
          <w:color w:val="FFFFFF"/>
          <w:sz w:val="32"/>
          <w:szCs w:val="32"/>
        </w:rPr>
        <w:t>en France et en Europe</w:t>
      </w:r>
    </w:p>
    <w:p w:rsidR="00D02E22" w:rsidRPr="00D02E22" w:rsidRDefault="00D7001D" w:rsidP="00404953">
      <w:pPr>
        <w:shd w:val="clear" w:color="auto" w:fill="3366FF"/>
        <w:spacing w:after="0" w:line="240" w:lineRule="auto"/>
        <w:ind w:left="-709"/>
        <w:rPr>
          <w:rFonts w:ascii="Calibri" w:hAnsi="Calibri"/>
          <w:b/>
          <w:bCs/>
          <w:color w:val="FFC000"/>
          <w:sz w:val="32"/>
          <w:szCs w:val="32"/>
        </w:rPr>
      </w:pPr>
      <w:r>
        <w:rPr>
          <w:rFonts w:ascii="Calibri" w:hAnsi="Calibri"/>
          <w:b/>
          <w:bCs/>
          <w:color w:val="FFC000"/>
          <w:sz w:val="32"/>
          <w:szCs w:val="32"/>
        </w:rPr>
        <w:t>juin</w:t>
      </w:r>
      <w:r w:rsidR="002524B9">
        <w:rPr>
          <w:rFonts w:ascii="Calibri" w:hAnsi="Calibri"/>
          <w:b/>
          <w:bCs/>
          <w:color w:val="FFC000"/>
          <w:sz w:val="32"/>
          <w:szCs w:val="32"/>
        </w:rPr>
        <w:t xml:space="preserve"> 2015</w:t>
      </w:r>
    </w:p>
    <w:p w:rsidR="00946466" w:rsidRPr="00860708" w:rsidRDefault="00946466" w:rsidP="00404953">
      <w:pPr>
        <w:spacing w:after="0" w:line="240" w:lineRule="auto"/>
        <w:ind w:left="-709"/>
        <w:rPr>
          <w:rFonts w:ascii="Calibri" w:hAnsi="Calibri"/>
        </w:rPr>
      </w:pPr>
    </w:p>
    <w:p w:rsidR="00946466" w:rsidRDefault="00946466" w:rsidP="00404953">
      <w:pPr>
        <w:spacing w:after="0" w:line="240" w:lineRule="auto"/>
        <w:ind w:left="-709"/>
        <w:rPr>
          <w:rFonts w:ascii="Calibri" w:hAnsi="Calibri"/>
        </w:rPr>
      </w:pPr>
      <w:r w:rsidRPr="00860708">
        <w:rPr>
          <w:rFonts w:ascii="Calibri" w:hAnsi="Calibri"/>
        </w:rPr>
        <w:t xml:space="preserve">Conseil Français des personnes Handicapées pour les questions Européennes|17, boulevard Auguste </w:t>
      </w:r>
      <w:r w:rsidR="00404953">
        <w:rPr>
          <w:rFonts w:ascii="Calibri" w:hAnsi="Calibri"/>
        </w:rPr>
        <w:t>B</w:t>
      </w:r>
      <w:r w:rsidRPr="00860708">
        <w:rPr>
          <w:rFonts w:ascii="Calibri" w:hAnsi="Calibri"/>
        </w:rPr>
        <w:t>lanqui|75013 Paris</w:t>
      </w:r>
    </w:p>
    <w:p w:rsidR="00F0223B" w:rsidRDefault="00F0223B" w:rsidP="00D02E22">
      <w:pPr>
        <w:ind w:left="-709"/>
      </w:pPr>
    </w:p>
    <w:p w:rsidR="00404953" w:rsidRPr="00D02E22" w:rsidRDefault="002C689D" w:rsidP="00D02E22">
      <w:pPr>
        <w:ind w:left="-709"/>
      </w:pPr>
      <w:hyperlink r:id="rId11" w:tooltip="blocked::http://cfhe.blogs.apf.asso.fr/" w:history="1"/>
      <w:hyperlink r:id="rId12" w:tooltip="blocked::http://cfhe.blogs.apf.asso.fr/" w:history="1"/>
    </w:p>
    <w:p w:rsidR="00D7001D" w:rsidRPr="00D7001D" w:rsidRDefault="00A02F6C" w:rsidP="00D7001D">
      <w:pPr>
        <w:pStyle w:val="Titre2"/>
        <w:shd w:val="clear" w:color="auto" w:fill="99CCFF"/>
        <w:ind w:left="-709"/>
        <w:rPr>
          <w:rFonts w:asciiTheme="minorHAnsi" w:hAnsiTheme="minorHAnsi"/>
          <w:sz w:val="32"/>
          <w:szCs w:val="32"/>
        </w:rPr>
      </w:pPr>
      <w:r w:rsidRPr="007C246B">
        <w:rPr>
          <w:rFonts w:asciiTheme="minorHAnsi" w:hAnsiTheme="minorHAnsi"/>
          <w:sz w:val="32"/>
          <w:szCs w:val="32"/>
        </w:rPr>
        <w:t>Convention des Nations</w:t>
      </w:r>
      <w:r w:rsidR="004955A0">
        <w:rPr>
          <w:rFonts w:asciiTheme="minorHAnsi" w:hAnsiTheme="minorHAnsi"/>
          <w:sz w:val="32"/>
          <w:szCs w:val="32"/>
        </w:rPr>
        <w:t xml:space="preserve"> </w:t>
      </w:r>
      <w:r w:rsidR="00410166">
        <w:rPr>
          <w:rFonts w:asciiTheme="minorHAnsi" w:hAnsiTheme="minorHAnsi"/>
          <w:sz w:val="32"/>
          <w:szCs w:val="32"/>
        </w:rPr>
        <w:t>Unies relative aux Droits des P</w:t>
      </w:r>
      <w:r w:rsidRPr="007C246B">
        <w:rPr>
          <w:rFonts w:asciiTheme="minorHAnsi" w:hAnsiTheme="minorHAnsi"/>
          <w:sz w:val="32"/>
          <w:szCs w:val="32"/>
        </w:rPr>
        <w:t>ersonnes Handicapées</w:t>
      </w:r>
    </w:p>
    <w:p w:rsidR="00F0223B" w:rsidRDefault="00F0223B" w:rsidP="00D7001D">
      <w:pPr>
        <w:spacing w:after="0" w:line="240" w:lineRule="auto"/>
        <w:ind w:left="-709"/>
        <w:rPr>
          <w:b/>
          <w:bCs/>
          <w:sz w:val="28"/>
          <w:szCs w:val="28"/>
        </w:rPr>
      </w:pPr>
    </w:p>
    <w:p w:rsidR="00F66EF1" w:rsidRPr="00BC06DA" w:rsidRDefault="00BC06DA" w:rsidP="00D7001D">
      <w:pPr>
        <w:spacing w:after="0" w:line="240" w:lineRule="auto"/>
        <w:ind w:left="-709"/>
        <w:rPr>
          <w:b/>
          <w:bCs/>
          <w:sz w:val="28"/>
          <w:szCs w:val="28"/>
        </w:rPr>
      </w:pPr>
      <w:r w:rsidRPr="00830FC2">
        <w:rPr>
          <w:b/>
          <w:bCs/>
          <w:sz w:val="28"/>
          <w:szCs w:val="28"/>
        </w:rPr>
        <w:t xml:space="preserve">Commission </w:t>
      </w:r>
      <w:r w:rsidR="007D49A5" w:rsidRPr="00830FC2">
        <w:rPr>
          <w:b/>
          <w:bCs/>
          <w:sz w:val="28"/>
          <w:szCs w:val="28"/>
        </w:rPr>
        <w:t xml:space="preserve">ONU </w:t>
      </w:r>
      <w:r w:rsidRPr="00830FC2">
        <w:rPr>
          <w:b/>
          <w:bCs/>
          <w:sz w:val="28"/>
          <w:szCs w:val="28"/>
        </w:rPr>
        <w:t>du CNCPH</w:t>
      </w:r>
      <w:r w:rsidRPr="00BC06DA">
        <w:rPr>
          <w:b/>
          <w:bCs/>
          <w:sz w:val="28"/>
          <w:szCs w:val="28"/>
        </w:rPr>
        <w:t xml:space="preserve"> </w:t>
      </w:r>
    </w:p>
    <w:p w:rsidR="00BC06DA" w:rsidRPr="00F0223B" w:rsidRDefault="00BC06DA" w:rsidP="00D7001D">
      <w:pPr>
        <w:spacing w:after="0" w:line="240" w:lineRule="auto"/>
        <w:ind w:left="-709"/>
        <w:rPr>
          <w:bCs/>
        </w:rPr>
      </w:pPr>
    </w:p>
    <w:p w:rsidR="00BC06DA" w:rsidRDefault="002F121D" w:rsidP="00F0223B">
      <w:pPr>
        <w:spacing w:after="0" w:line="240" w:lineRule="auto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 4 juin 2015, la Commission ONU du Conseil National Consultatif des Personnes Handicapées (CNCPH) a remis son </w:t>
      </w:r>
      <w:hyperlink r:id="rId13" w:tooltip="rapport de fin de mandature commission ONU CNCPH, nouvelle fenêtre" w:history="1">
        <w:r w:rsidRPr="002F121D">
          <w:rPr>
            <w:rStyle w:val="Lienhypertexte"/>
            <w:bCs/>
            <w:sz w:val="28"/>
            <w:szCs w:val="28"/>
          </w:rPr>
          <w:t>rapport de fin de mandature</w:t>
        </w:r>
      </w:hyperlink>
      <w:r>
        <w:rPr>
          <w:bCs/>
          <w:sz w:val="28"/>
          <w:szCs w:val="28"/>
        </w:rPr>
        <w:t xml:space="preserve">. </w:t>
      </w:r>
    </w:p>
    <w:p w:rsidR="00F0223B" w:rsidRDefault="00F0223B" w:rsidP="00F0223B">
      <w:pPr>
        <w:spacing w:after="0" w:line="240" w:lineRule="auto"/>
        <w:ind w:left="-709"/>
        <w:rPr>
          <w:bCs/>
          <w:sz w:val="28"/>
          <w:szCs w:val="28"/>
        </w:rPr>
      </w:pPr>
    </w:p>
    <w:p w:rsidR="00F0223B" w:rsidRDefault="00F0223B" w:rsidP="00F0223B">
      <w:pPr>
        <w:spacing w:after="0" w:line="240" w:lineRule="auto"/>
        <w:ind w:left="-709"/>
        <w:rPr>
          <w:bCs/>
          <w:sz w:val="28"/>
          <w:szCs w:val="28"/>
        </w:rPr>
      </w:pPr>
    </w:p>
    <w:p w:rsidR="00BC06DA" w:rsidRPr="00BC06DA" w:rsidRDefault="00830FC2" w:rsidP="00D7001D">
      <w:pPr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8e Se</w:t>
      </w:r>
      <w:r w:rsidR="00BC06DA" w:rsidRPr="00BC06DA">
        <w:rPr>
          <w:b/>
          <w:bCs/>
          <w:sz w:val="28"/>
          <w:szCs w:val="28"/>
        </w:rPr>
        <w:t>ssion de la Conférence des Etats Parties</w:t>
      </w:r>
    </w:p>
    <w:p w:rsidR="00BC06DA" w:rsidRPr="00F0223B" w:rsidRDefault="00BC06DA" w:rsidP="00D7001D">
      <w:pPr>
        <w:spacing w:after="0" w:line="240" w:lineRule="auto"/>
        <w:ind w:left="-709"/>
        <w:rPr>
          <w:bCs/>
        </w:rPr>
      </w:pPr>
    </w:p>
    <w:p w:rsidR="00830FC2" w:rsidRDefault="00830FC2" w:rsidP="00D7001D">
      <w:pPr>
        <w:spacing w:after="0" w:line="240" w:lineRule="auto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La 8</w:t>
      </w:r>
      <w:r w:rsidRPr="00830FC2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session de la Conférence des Etats Parties s’est déroulée du 9 au 11 juin 2015 sur le thème</w:t>
      </w:r>
      <w:r w:rsidR="006F6E01">
        <w:rPr>
          <w:bCs/>
          <w:sz w:val="28"/>
          <w:szCs w:val="28"/>
        </w:rPr>
        <w:t xml:space="preserve"> de l’ancrage des droits des personnes handicapées dans les politiques de développement post-2015</w:t>
      </w:r>
      <w:r>
        <w:rPr>
          <w:bCs/>
          <w:sz w:val="28"/>
          <w:szCs w:val="28"/>
        </w:rPr>
        <w:t xml:space="preserve">. Les vidéos des rencontres sont disponibles sur le </w:t>
      </w:r>
      <w:hyperlink r:id="rId14" w:tooltip="site internet des nations unies, nouvelle fenêtre" w:history="1">
        <w:r w:rsidRPr="00830FC2">
          <w:rPr>
            <w:rStyle w:val="Lienhypertexte"/>
            <w:bCs/>
            <w:sz w:val="28"/>
            <w:szCs w:val="28"/>
          </w:rPr>
          <w:t>site internet des Nations Unies</w:t>
        </w:r>
      </w:hyperlink>
      <w:r>
        <w:rPr>
          <w:bCs/>
          <w:sz w:val="28"/>
          <w:szCs w:val="28"/>
        </w:rPr>
        <w:t>.</w:t>
      </w:r>
    </w:p>
    <w:p w:rsidR="006F6E01" w:rsidRDefault="006F6E01" w:rsidP="006F6E01">
      <w:pPr>
        <w:spacing w:after="0" w:line="240" w:lineRule="auto"/>
        <w:ind w:left="-709"/>
        <w:rPr>
          <w:sz w:val="28"/>
          <w:szCs w:val="28"/>
        </w:rPr>
      </w:pPr>
    </w:p>
    <w:p w:rsidR="00F0223B" w:rsidRDefault="00F0223B" w:rsidP="006F6E01">
      <w:pPr>
        <w:spacing w:after="0" w:line="240" w:lineRule="auto"/>
        <w:ind w:left="-709"/>
        <w:rPr>
          <w:sz w:val="28"/>
          <w:szCs w:val="28"/>
        </w:rPr>
      </w:pPr>
    </w:p>
    <w:p w:rsidR="001F5C0B" w:rsidRDefault="00654CCC" w:rsidP="001F5C0B">
      <w:pPr>
        <w:spacing w:after="0" w:line="240" w:lineRule="auto"/>
        <w:ind w:left="-709"/>
        <w:rPr>
          <w:b/>
          <w:sz w:val="28"/>
          <w:szCs w:val="28"/>
        </w:rPr>
      </w:pPr>
      <w:r w:rsidRPr="00654CCC">
        <w:rPr>
          <w:b/>
          <w:sz w:val="28"/>
          <w:szCs w:val="28"/>
        </w:rPr>
        <w:t>Comité de suivi de la CIDPH</w:t>
      </w:r>
    </w:p>
    <w:p w:rsidR="001F5C0B" w:rsidRPr="00BB612D" w:rsidRDefault="001F5C0B" w:rsidP="001F5C0B">
      <w:pPr>
        <w:spacing w:after="0" w:line="240" w:lineRule="auto"/>
        <w:ind w:left="-709"/>
        <w:rPr>
          <w:b/>
        </w:rPr>
      </w:pPr>
    </w:p>
    <w:p w:rsidR="001F5C0B" w:rsidRDefault="00654CCC" w:rsidP="001F5C0B">
      <w:pPr>
        <w:spacing w:after="0" w:line="240" w:lineRule="auto"/>
        <w:ind w:left="-709"/>
        <w:rPr>
          <w:sz w:val="28"/>
          <w:szCs w:val="28"/>
        </w:rPr>
      </w:pPr>
      <w:r w:rsidRPr="001F5C0B">
        <w:rPr>
          <w:sz w:val="28"/>
          <w:szCs w:val="28"/>
        </w:rPr>
        <w:t xml:space="preserve">Le comité de suivi de la CIDPH </w:t>
      </w:r>
      <w:r w:rsidR="001F5C0B" w:rsidRPr="001F5C0B">
        <w:rPr>
          <w:sz w:val="28"/>
          <w:szCs w:val="28"/>
        </w:rPr>
        <w:t>s’est réuni le 22 juin pour échanger sur les actions d’information à lancer auprès des acteurs en charge de la CIDPH, et pour engager les travaux sur différentes thématique</w:t>
      </w:r>
      <w:r w:rsidR="001F5C0B">
        <w:rPr>
          <w:sz w:val="28"/>
          <w:szCs w:val="28"/>
        </w:rPr>
        <w:t>s</w:t>
      </w:r>
      <w:r w:rsidR="001F5C0B" w:rsidRPr="001F5C0B">
        <w:rPr>
          <w:sz w:val="28"/>
          <w:szCs w:val="28"/>
        </w:rPr>
        <w:t>. Lors de ce comité les participants ont reçu deux documents :</w:t>
      </w:r>
    </w:p>
    <w:p w:rsidR="00654CCC" w:rsidRPr="001F5C0B" w:rsidRDefault="006D5069" w:rsidP="001F5C0B">
      <w:pPr>
        <w:pStyle w:val="Paragraphedeliste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La </w:t>
      </w:r>
      <w:r w:rsidR="00BB612D">
        <w:rPr>
          <w:sz w:val="28"/>
          <w:szCs w:val="28"/>
        </w:rPr>
        <w:t>première</w:t>
      </w:r>
      <w:r>
        <w:rPr>
          <w:sz w:val="28"/>
          <w:szCs w:val="28"/>
        </w:rPr>
        <w:t xml:space="preserve"> partie de </w:t>
      </w:r>
      <w:r w:rsidR="001F5C0B" w:rsidRPr="001F5C0B">
        <w:rPr>
          <w:sz w:val="28"/>
          <w:szCs w:val="28"/>
        </w:rPr>
        <w:t>« L’étude de l’éventuel effet dire</w:t>
      </w:r>
      <w:r w:rsidR="001F5C0B">
        <w:rPr>
          <w:sz w:val="28"/>
          <w:szCs w:val="28"/>
        </w:rPr>
        <w:t>ct des stipulations de la CIDPH »</w:t>
      </w:r>
      <w:r>
        <w:rPr>
          <w:sz w:val="28"/>
          <w:szCs w:val="28"/>
        </w:rPr>
        <w:t xml:space="preserve"> réalisée par M.</w:t>
      </w:r>
      <w:r w:rsidR="0056161E">
        <w:rPr>
          <w:sz w:val="28"/>
          <w:szCs w:val="28"/>
        </w:rPr>
        <w:t xml:space="preserve"> </w:t>
      </w:r>
      <w:r>
        <w:rPr>
          <w:sz w:val="28"/>
          <w:szCs w:val="28"/>
        </w:rPr>
        <w:t>Blatman</w:t>
      </w:r>
      <w:r w:rsidR="0056161E">
        <w:rPr>
          <w:sz w:val="28"/>
          <w:szCs w:val="28"/>
        </w:rPr>
        <w:t>, conseiller honoraire à la Cour de cassation</w:t>
      </w:r>
      <w:r>
        <w:rPr>
          <w:sz w:val="28"/>
          <w:szCs w:val="28"/>
        </w:rPr>
        <w:t>.</w:t>
      </w:r>
    </w:p>
    <w:p w:rsidR="001F5C0B" w:rsidRPr="001F5C0B" w:rsidRDefault="00BB612D" w:rsidP="001F5C0B">
      <w:pPr>
        <w:pStyle w:val="Paragraphedeliste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="001F5C0B" w:rsidRPr="001F5C0B">
        <w:rPr>
          <w:sz w:val="28"/>
          <w:szCs w:val="28"/>
        </w:rPr>
        <w:t>a liste des correspondants « handicap » des ministères,</w:t>
      </w:r>
      <w:r>
        <w:rPr>
          <w:sz w:val="28"/>
          <w:szCs w:val="28"/>
        </w:rPr>
        <w:t xml:space="preserve"> transmise</w:t>
      </w:r>
      <w:r w:rsidR="001F5C0B" w:rsidRPr="001F5C0B">
        <w:rPr>
          <w:sz w:val="28"/>
          <w:szCs w:val="28"/>
        </w:rPr>
        <w:t xml:space="preserve"> par Agnès</w:t>
      </w:r>
      <w:r w:rsidR="00F0223B">
        <w:rPr>
          <w:sz w:val="28"/>
          <w:szCs w:val="28"/>
        </w:rPr>
        <w:t>-</w:t>
      </w:r>
      <w:r w:rsidR="001F5C0B" w:rsidRPr="001F5C0B">
        <w:rPr>
          <w:sz w:val="28"/>
          <w:szCs w:val="28"/>
        </w:rPr>
        <w:t xml:space="preserve">Marie Egyptienne, </w:t>
      </w:r>
      <w:r w:rsidR="00F0223B">
        <w:rPr>
          <w:sz w:val="28"/>
          <w:szCs w:val="28"/>
        </w:rPr>
        <w:t>S</w:t>
      </w:r>
      <w:r w:rsidR="001F5C0B" w:rsidRPr="001F5C0B">
        <w:rPr>
          <w:sz w:val="28"/>
          <w:szCs w:val="28"/>
        </w:rPr>
        <w:t xml:space="preserve">ecrétaire Générale du Comité interministériel du handicap. Cette liste est disponible sur le </w:t>
      </w:r>
      <w:hyperlink r:id="rId15" w:tooltip="site internet du gouvernement, nouvelle fenêtre" w:history="1">
        <w:r w:rsidR="001F5C0B" w:rsidRPr="001F5C0B">
          <w:rPr>
            <w:rStyle w:val="Lienhypertexte"/>
            <w:sz w:val="28"/>
            <w:szCs w:val="28"/>
          </w:rPr>
          <w:t>site internet du gouvernement</w:t>
        </w:r>
      </w:hyperlink>
      <w:r w:rsidR="001F5C0B" w:rsidRPr="001F5C0B">
        <w:rPr>
          <w:sz w:val="28"/>
          <w:szCs w:val="28"/>
        </w:rPr>
        <w:t>.</w:t>
      </w:r>
    </w:p>
    <w:p w:rsidR="00654CCC" w:rsidRDefault="00654CCC" w:rsidP="001F5C0B">
      <w:pPr>
        <w:spacing w:after="0" w:line="240" w:lineRule="auto"/>
        <w:rPr>
          <w:sz w:val="28"/>
          <w:szCs w:val="28"/>
        </w:rPr>
      </w:pPr>
    </w:p>
    <w:p w:rsidR="001F5C0B" w:rsidRDefault="001F5C0B" w:rsidP="001F5C0B">
      <w:pPr>
        <w:spacing w:after="0" w:line="240" w:lineRule="auto"/>
        <w:rPr>
          <w:sz w:val="28"/>
          <w:szCs w:val="28"/>
        </w:rPr>
      </w:pPr>
    </w:p>
    <w:p w:rsidR="001F5C0B" w:rsidRPr="00263F70" w:rsidRDefault="001F5C0B" w:rsidP="001F5C0B">
      <w:pPr>
        <w:spacing w:after="0" w:line="240" w:lineRule="auto"/>
        <w:rPr>
          <w:sz w:val="28"/>
          <w:szCs w:val="28"/>
        </w:rPr>
      </w:pPr>
    </w:p>
    <w:p w:rsidR="00D7001D" w:rsidRPr="00F66EF1" w:rsidRDefault="00D7001D" w:rsidP="00D02E22">
      <w:pPr>
        <w:spacing w:after="0" w:line="240" w:lineRule="auto"/>
        <w:rPr>
          <w:bCs/>
          <w:sz w:val="28"/>
          <w:szCs w:val="28"/>
        </w:rPr>
      </w:pPr>
    </w:p>
    <w:p w:rsidR="005E6730" w:rsidRPr="005E6730" w:rsidRDefault="005E6730" w:rsidP="005E6730">
      <w:pPr>
        <w:pStyle w:val="Titre2"/>
        <w:shd w:val="clear" w:color="auto" w:fill="99CCFF"/>
        <w:spacing w:before="0" w:beforeAutospacing="0" w:after="0" w:afterAutospacing="0"/>
        <w:ind w:left="-709"/>
        <w:rPr>
          <w:rFonts w:asciiTheme="minorHAnsi" w:hAnsiTheme="minorHAnsi"/>
          <w:b w:val="0"/>
          <w:sz w:val="32"/>
          <w:szCs w:val="32"/>
        </w:rPr>
      </w:pPr>
      <w:r w:rsidRPr="005E6730">
        <w:rPr>
          <w:rFonts w:asciiTheme="minorHAnsi" w:hAnsiTheme="minorHAnsi"/>
          <w:sz w:val="32"/>
          <w:szCs w:val="32"/>
        </w:rPr>
        <w:t>Agenda du CFHE</w:t>
      </w:r>
    </w:p>
    <w:p w:rsidR="00586424" w:rsidRDefault="00586424" w:rsidP="00A338BB">
      <w:pPr>
        <w:spacing w:after="0" w:line="240" w:lineRule="auto"/>
        <w:ind w:left="-709"/>
        <w:rPr>
          <w:b/>
          <w:sz w:val="28"/>
          <w:szCs w:val="28"/>
        </w:rPr>
      </w:pPr>
    </w:p>
    <w:p w:rsidR="00F0223B" w:rsidRDefault="00F0223B" w:rsidP="00A338BB">
      <w:pPr>
        <w:spacing w:after="0" w:line="240" w:lineRule="auto"/>
        <w:ind w:left="-709"/>
        <w:rPr>
          <w:b/>
          <w:sz w:val="28"/>
          <w:szCs w:val="28"/>
        </w:rPr>
      </w:pPr>
    </w:p>
    <w:p w:rsidR="00D7001D" w:rsidRDefault="00D36186" w:rsidP="00A338BB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5 juin 2015 – Séminaire « J’habite dans la maison, je vis dans mon quartier »</w:t>
      </w:r>
    </w:p>
    <w:p w:rsidR="00D36186" w:rsidRPr="00BB612D" w:rsidRDefault="00D36186" w:rsidP="00A338BB">
      <w:pPr>
        <w:spacing w:after="0" w:line="240" w:lineRule="auto"/>
        <w:ind w:left="-709"/>
        <w:rPr>
          <w:b/>
        </w:rPr>
      </w:pPr>
    </w:p>
    <w:p w:rsidR="00BC29F6" w:rsidRDefault="00D36186" w:rsidP="00BC29F6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Le 5 juin, le CFHE a assisté à ce séminaire organisé à Bruxelles par l’association </w:t>
      </w:r>
      <w:r w:rsidR="006D5069">
        <w:rPr>
          <w:sz w:val="28"/>
          <w:szCs w:val="28"/>
        </w:rPr>
        <w:t>« </w:t>
      </w:r>
      <w:r w:rsidR="00BC29F6">
        <w:rPr>
          <w:sz w:val="28"/>
          <w:szCs w:val="28"/>
        </w:rPr>
        <w:t>Les Pilotis</w:t>
      </w:r>
      <w:r w:rsidR="006D5069">
        <w:rPr>
          <w:sz w:val="28"/>
          <w:szCs w:val="28"/>
        </w:rPr>
        <w:t> »</w:t>
      </w:r>
      <w:r w:rsidR="00BC29F6">
        <w:rPr>
          <w:sz w:val="28"/>
          <w:szCs w:val="28"/>
        </w:rPr>
        <w:t>. La journée était consacrée au partage d’expériences sur la conception et la réalisation d’habitats inclusifs pour les personnes handicapées.</w:t>
      </w:r>
    </w:p>
    <w:p w:rsidR="00BC29F6" w:rsidRPr="00D36186" w:rsidRDefault="00BC29F6" w:rsidP="00BC29F6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Consulter le </w:t>
      </w:r>
      <w:hyperlink r:id="rId16" w:tooltip="Site internet de l'association Les Pilotis, nouvelle fenêtre" w:history="1">
        <w:r w:rsidRPr="00BC29F6">
          <w:rPr>
            <w:rStyle w:val="Lienhypertexte"/>
            <w:sz w:val="28"/>
            <w:szCs w:val="28"/>
          </w:rPr>
          <w:t>site internet de l’association Les Pilotis</w:t>
        </w:r>
      </w:hyperlink>
      <w:r>
        <w:rPr>
          <w:sz w:val="28"/>
          <w:szCs w:val="28"/>
        </w:rPr>
        <w:t>.</w:t>
      </w:r>
    </w:p>
    <w:p w:rsidR="00BC06DA" w:rsidRDefault="00BC06DA" w:rsidP="00A338BB">
      <w:pPr>
        <w:spacing w:after="0" w:line="240" w:lineRule="auto"/>
        <w:ind w:left="-709"/>
        <w:rPr>
          <w:b/>
          <w:sz w:val="28"/>
          <w:szCs w:val="28"/>
        </w:rPr>
      </w:pPr>
    </w:p>
    <w:p w:rsidR="00F0223B" w:rsidRDefault="00F0223B" w:rsidP="00A338BB">
      <w:pPr>
        <w:spacing w:after="0" w:line="240" w:lineRule="auto"/>
        <w:ind w:left="-709"/>
        <w:rPr>
          <w:b/>
          <w:sz w:val="28"/>
          <w:szCs w:val="28"/>
        </w:rPr>
      </w:pPr>
    </w:p>
    <w:p w:rsidR="00BC06DA" w:rsidRDefault="00BC29F6" w:rsidP="00A338BB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et 9 juin 2015 – Rencontre </w:t>
      </w:r>
      <w:r w:rsidR="00E9039D">
        <w:rPr>
          <w:b/>
          <w:sz w:val="28"/>
          <w:szCs w:val="28"/>
        </w:rPr>
        <w:t>du réseau Includ</w:t>
      </w:r>
      <w:r w:rsidR="00F0223B">
        <w:rPr>
          <w:b/>
          <w:sz w:val="28"/>
          <w:szCs w:val="28"/>
        </w:rPr>
        <w:t>-E</w:t>
      </w:r>
      <w:r>
        <w:rPr>
          <w:b/>
          <w:sz w:val="28"/>
          <w:szCs w:val="28"/>
        </w:rPr>
        <w:t>d</w:t>
      </w:r>
    </w:p>
    <w:p w:rsidR="00BC29F6" w:rsidRPr="00BB612D" w:rsidRDefault="00BC29F6" w:rsidP="00A338BB">
      <w:pPr>
        <w:spacing w:after="0" w:line="240" w:lineRule="auto"/>
        <w:ind w:left="-709"/>
        <w:rPr>
          <w:b/>
        </w:rPr>
      </w:pPr>
    </w:p>
    <w:p w:rsidR="00BC29F6" w:rsidRDefault="00E9039D" w:rsidP="00A338BB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Philippe Miet a participé à la rencontre I</w:t>
      </w:r>
      <w:r w:rsidR="00276667">
        <w:rPr>
          <w:sz w:val="28"/>
          <w:szCs w:val="28"/>
        </w:rPr>
        <w:t>n</w:t>
      </w:r>
      <w:r>
        <w:rPr>
          <w:sz w:val="28"/>
          <w:szCs w:val="28"/>
        </w:rPr>
        <w:t>clud</w:t>
      </w:r>
      <w:r w:rsidR="00F0223B">
        <w:rPr>
          <w:sz w:val="28"/>
          <w:szCs w:val="28"/>
        </w:rPr>
        <w:t>-E</w:t>
      </w:r>
      <w:r>
        <w:rPr>
          <w:sz w:val="28"/>
          <w:szCs w:val="28"/>
        </w:rPr>
        <w:t>d, réseau pour l’éducation inclusive, qui a eu lieu à Paris. Lors de ces deux journées, plusieurs sujets ont été abordés :</w:t>
      </w:r>
    </w:p>
    <w:p w:rsidR="00E9039D" w:rsidRDefault="00E9039D" w:rsidP="00E9039D">
      <w:pPr>
        <w:pStyle w:val="Paragraphedeliste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Une rencontre avec l’OCDE a p</w:t>
      </w:r>
      <w:r w:rsidR="006D5069">
        <w:rPr>
          <w:sz w:val="28"/>
          <w:szCs w:val="28"/>
        </w:rPr>
        <w:t>e</w:t>
      </w:r>
      <w:r>
        <w:rPr>
          <w:sz w:val="28"/>
          <w:szCs w:val="28"/>
        </w:rPr>
        <w:t>rmi</w:t>
      </w:r>
      <w:r w:rsidR="006D5069">
        <w:rPr>
          <w:sz w:val="28"/>
          <w:szCs w:val="28"/>
        </w:rPr>
        <w:t>s</w:t>
      </w:r>
      <w:r>
        <w:rPr>
          <w:sz w:val="28"/>
          <w:szCs w:val="28"/>
        </w:rPr>
        <w:t xml:space="preserve"> de faire le point sur la prise en compte du handicap dans leurs classements, études et politiques, en particulier concernant le classement PISA (</w:t>
      </w:r>
      <w:r w:rsidR="00276667">
        <w:rPr>
          <w:sz w:val="28"/>
          <w:szCs w:val="28"/>
        </w:rPr>
        <w:t>sur l’éducation des jeunes) et de revenir sur la question des besoins éducatifs particuliers.</w:t>
      </w:r>
    </w:p>
    <w:p w:rsidR="00276667" w:rsidRDefault="00276667" w:rsidP="00E9039D">
      <w:pPr>
        <w:pStyle w:val="Paragraphedeliste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rencontre avec </w:t>
      </w:r>
      <w:r w:rsidR="006D5069">
        <w:rPr>
          <w:sz w:val="28"/>
          <w:szCs w:val="28"/>
        </w:rPr>
        <w:t>l’</w:t>
      </w:r>
      <w:r>
        <w:rPr>
          <w:sz w:val="28"/>
          <w:szCs w:val="28"/>
        </w:rPr>
        <w:t>UNESCO, déjà très impliqué dans « l’école pour tous », s’est focalisée sur leurs actions en matière d’éducation inclusive et sur les outils qu’ils sont amenés à développer.</w:t>
      </w:r>
    </w:p>
    <w:p w:rsidR="00276667" w:rsidRDefault="00276667" w:rsidP="00276667">
      <w:pPr>
        <w:pStyle w:val="Paragraphedeliste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journée du 9 juin a été consacrée à différent</w:t>
      </w:r>
      <w:r w:rsidR="00F0223B">
        <w:rPr>
          <w:sz w:val="28"/>
          <w:szCs w:val="28"/>
        </w:rPr>
        <w:t>s</w:t>
      </w:r>
      <w:r>
        <w:rPr>
          <w:sz w:val="28"/>
          <w:szCs w:val="28"/>
        </w:rPr>
        <w:t xml:space="preserve"> échanges, notamment concernant les outils à développer pour explorer la qualité des processus d’inclusion des élèves en situation de handicap dans les pays européens.</w:t>
      </w:r>
    </w:p>
    <w:p w:rsidR="00276667" w:rsidRDefault="00276667" w:rsidP="00276667">
      <w:pPr>
        <w:spacing w:after="0" w:line="240" w:lineRule="auto"/>
        <w:ind w:left="-709"/>
        <w:rPr>
          <w:sz w:val="28"/>
          <w:szCs w:val="28"/>
        </w:rPr>
      </w:pPr>
    </w:p>
    <w:p w:rsidR="00F0223B" w:rsidRPr="00276667" w:rsidRDefault="00F0223B" w:rsidP="00276667">
      <w:pPr>
        <w:spacing w:after="0" w:line="240" w:lineRule="auto"/>
        <w:ind w:left="-709"/>
        <w:rPr>
          <w:sz w:val="28"/>
          <w:szCs w:val="28"/>
        </w:rPr>
      </w:pPr>
    </w:p>
    <w:p w:rsidR="00D7001D" w:rsidRPr="006F6E01" w:rsidRDefault="00276667" w:rsidP="00A338BB">
      <w:pPr>
        <w:spacing w:after="0" w:line="240" w:lineRule="auto"/>
        <w:ind w:left="-709"/>
        <w:rPr>
          <w:b/>
          <w:sz w:val="28"/>
          <w:szCs w:val="28"/>
        </w:rPr>
      </w:pPr>
      <w:r w:rsidRPr="006F6E01">
        <w:rPr>
          <w:b/>
          <w:sz w:val="28"/>
          <w:szCs w:val="28"/>
        </w:rPr>
        <w:t xml:space="preserve">11 et 12 juin 2015 </w:t>
      </w:r>
      <w:r w:rsidR="00263F70" w:rsidRPr="006F6E01">
        <w:rPr>
          <w:b/>
          <w:sz w:val="28"/>
          <w:szCs w:val="28"/>
        </w:rPr>
        <w:t>–</w:t>
      </w:r>
      <w:r w:rsidRPr="006F6E01">
        <w:rPr>
          <w:b/>
          <w:sz w:val="28"/>
          <w:szCs w:val="28"/>
        </w:rPr>
        <w:t xml:space="preserve"> </w:t>
      </w:r>
      <w:r w:rsidR="00263F70" w:rsidRPr="006F6E01">
        <w:rPr>
          <w:b/>
          <w:sz w:val="28"/>
          <w:szCs w:val="28"/>
        </w:rPr>
        <w:t>Fribourg, évolution des politiques européennes en matière d’habitat</w:t>
      </w:r>
    </w:p>
    <w:p w:rsidR="00263F70" w:rsidRPr="00BB612D" w:rsidRDefault="00263F70" w:rsidP="00A338BB">
      <w:pPr>
        <w:spacing w:after="0" w:line="240" w:lineRule="auto"/>
        <w:ind w:left="-709"/>
        <w:rPr>
          <w:b/>
        </w:rPr>
      </w:pPr>
    </w:p>
    <w:p w:rsidR="006F6E01" w:rsidRPr="006F6E01" w:rsidRDefault="006D5069" w:rsidP="00A338BB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Le CFHE a été invité à participer à</w:t>
      </w:r>
      <w:r w:rsidR="006F6E01">
        <w:rPr>
          <w:sz w:val="28"/>
          <w:szCs w:val="28"/>
        </w:rPr>
        <w:t xml:space="preserve"> </w:t>
      </w:r>
      <w:r w:rsidR="00654CCC">
        <w:rPr>
          <w:sz w:val="28"/>
          <w:szCs w:val="28"/>
        </w:rPr>
        <w:t>une table ronde destinée à sensibiliser à la création d</w:t>
      </w:r>
      <w:r w:rsidR="00F0223B">
        <w:rPr>
          <w:sz w:val="28"/>
          <w:szCs w:val="28"/>
        </w:rPr>
        <w:t>’un</w:t>
      </w:r>
      <w:r w:rsidR="00654CCC">
        <w:rPr>
          <w:sz w:val="28"/>
          <w:szCs w:val="28"/>
        </w:rPr>
        <w:t>e structure d’accueil et de travail pour les personnes handicapées dans le canton de Fribourg</w:t>
      </w:r>
      <w:r w:rsidR="00BB612D">
        <w:rPr>
          <w:sz w:val="28"/>
          <w:szCs w:val="28"/>
        </w:rPr>
        <w:t xml:space="preserve"> en présentant le contexte européen actuel</w:t>
      </w:r>
      <w:r w:rsidR="00654CCC">
        <w:rPr>
          <w:sz w:val="28"/>
          <w:szCs w:val="28"/>
        </w:rPr>
        <w:t>.</w:t>
      </w:r>
    </w:p>
    <w:p w:rsidR="006F6E01" w:rsidRDefault="006F6E01" w:rsidP="00A338BB">
      <w:pPr>
        <w:spacing w:after="0" w:line="240" w:lineRule="auto"/>
        <w:ind w:left="-709"/>
        <w:rPr>
          <w:b/>
          <w:sz w:val="28"/>
          <w:szCs w:val="28"/>
        </w:rPr>
      </w:pPr>
    </w:p>
    <w:p w:rsidR="00F0223B" w:rsidRDefault="00F0223B" w:rsidP="00A338BB">
      <w:pPr>
        <w:spacing w:after="0" w:line="240" w:lineRule="auto"/>
        <w:ind w:left="-709"/>
        <w:rPr>
          <w:b/>
          <w:sz w:val="28"/>
          <w:szCs w:val="28"/>
        </w:rPr>
      </w:pPr>
    </w:p>
    <w:p w:rsidR="00263F70" w:rsidRPr="006F6E01" w:rsidRDefault="00263F70" w:rsidP="00263F70">
      <w:pPr>
        <w:spacing w:after="0" w:line="240" w:lineRule="auto"/>
        <w:ind w:left="-709"/>
        <w:rPr>
          <w:b/>
          <w:sz w:val="28"/>
          <w:szCs w:val="28"/>
        </w:rPr>
      </w:pPr>
      <w:r w:rsidRPr="006F6E01">
        <w:rPr>
          <w:b/>
          <w:sz w:val="28"/>
          <w:szCs w:val="28"/>
        </w:rPr>
        <w:t>19 juin 2015 – Rencontre avec le défenseur des droits russe à Paris</w:t>
      </w:r>
      <w:r w:rsidR="000A5927" w:rsidRPr="006F6E01">
        <w:rPr>
          <w:b/>
          <w:sz w:val="28"/>
          <w:szCs w:val="28"/>
        </w:rPr>
        <w:t xml:space="preserve"> </w:t>
      </w:r>
    </w:p>
    <w:p w:rsidR="00B92D41" w:rsidRPr="00BB612D" w:rsidRDefault="00B92D41" w:rsidP="00263F70">
      <w:pPr>
        <w:spacing w:after="0" w:line="240" w:lineRule="auto"/>
        <w:ind w:left="-709"/>
      </w:pPr>
    </w:p>
    <w:p w:rsidR="007D49A5" w:rsidRDefault="00BB612D" w:rsidP="00654CCC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A l’initiative du HCVA (Haut Conseil Vie Associative) a été organisée à Paris  </w:t>
      </w:r>
      <w:r w:rsidR="00B92D41">
        <w:rPr>
          <w:sz w:val="28"/>
          <w:szCs w:val="28"/>
        </w:rPr>
        <w:t xml:space="preserve">le 19 juin  une table ronde en présence de Madame Ella Pamfilova, </w:t>
      </w:r>
      <w:r w:rsidR="00F0223B">
        <w:rPr>
          <w:sz w:val="28"/>
          <w:szCs w:val="28"/>
        </w:rPr>
        <w:t>D</w:t>
      </w:r>
      <w:r w:rsidR="00B92D41">
        <w:rPr>
          <w:sz w:val="28"/>
          <w:szCs w:val="28"/>
        </w:rPr>
        <w:t xml:space="preserve">éfenseur des droits de la Fédération de Russie, </w:t>
      </w:r>
      <w:r>
        <w:rPr>
          <w:sz w:val="28"/>
          <w:szCs w:val="28"/>
        </w:rPr>
        <w:t xml:space="preserve">avec </w:t>
      </w:r>
      <w:r w:rsidR="00B92D41">
        <w:rPr>
          <w:sz w:val="28"/>
          <w:szCs w:val="28"/>
        </w:rPr>
        <w:t xml:space="preserve"> d’autres</w:t>
      </w:r>
      <w:r w:rsidR="007D49A5">
        <w:rPr>
          <w:sz w:val="28"/>
          <w:szCs w:val="28"/>
        </w:rPr>
        <w:t xml:space="preserve"> acteurs de la société civile</w:t>
      </w:r>
      <w:r w:rsidR="006F6E01">
        <w:rPr>
          <w:sz w:val="28"/>
          <w:szCs w:val="28"/>
        </w:rPr>
        <w:t xml:space="preserve"> tels que la Ligue des Droits de l’homme, l’Observatoire International des Prisons, le FORIM et le CRID. </w:t>
      </w:r>
    </w:p>
    <w:p w:rsidR="00263F70" w:rsidRDefault="00263F70" w:rsidP="00263F70">
      <w:pPr>
        <w:spacing w:after="0" w:line="240" w:lineRule="auto"/>
        <w:ind w:left="-709"/>
        <w:rPr>
          <w:b/>
          <w:sz w:val="28"/>
          <w:szCs w:val="28"/>
        </w:rPr>
      </w:pPr>
    </w:p>
    <w:p w:rsidR="00F0223B" w:rsidRDefault="00F0223B" w:rsidP="00263F70">
      <w:pPr>
        <w:spacing w:after="0" w:line="240" w:lineRule="auto"/>
        <w:ind w:left="-709"/>
        <w:rPr>
          <w:b/>
          <w:sz w:val="28"/>
          <w:szCs w:val="28"/>
        </w:rPr>
      </w:pPr>
    </w:p>
    <w:p w:rsidR="00F0223B" w:rsidRDefault="00F0223B" w:rsidP="00263F70">
      <w:pPr>
        <w:spacing w:after="0" w:line="240" w:lineRule="auto"/>
        <w:ind w:left="-709"/>
        <w:rPr>
          <w:b/>
          <w:sz w:val="28"/>
          <w:szCs w:val="28"/>
        </w:rPr>
      </w:pPr>
    </w:p>
    <w:p w:rsidR="00263F70" w:rsidRDefault="00263F70" w:rsidP="00263F70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juin 2015 – Rencontre du groupe </w:t>
      </w:r>
      <w:r w:rsidR="00B92D41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Handicap et Numérique</w:t>
      </w:r>
      <w:r w:rsidR="00B92D41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 xml:space="preserve"> du CFHE</w:t>
      </w:r>
    </w:p>
    <w:p w:rsidR="000B73DC" w:rsidRPr="00BB612D" w:rsidRDefault="000B73DC" w:rsidP="00BB612D">
      <w:pPr>
        <w:spacing w:after="0" w:line="240" w:lineRule="auto"/>
        <w:ind w:hanging="709"/>
        <w:rPr>
          <w:color w:val="0000FF"/>
          <w:u w:val="single"/>
        </w:rPr>
      </w:pPr>
    </w:p>
    <w:p w:rsidR="00B92D41" w:rsidRDefault="00194C5C" w:rsidP="00B92D41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Le groupe de travail « Handicap et numérique » s’est réuni autour de la thématique « Logiciels et licences libres : les biens communs numériques pour le handicap ». </w:t>
      </w:r>
    </w:p>
    <w:p w:rsidR="00654CCC" w:rsidRPr="00194C5C" w:rsidRDefault="00654CCC" w:rsidP="00B92D41">
      <w:pPr>
        <w:spacing w:after="0" w:line="240" w:lineRule="auto"/>
        <w:ind w:left="-709"/>
        <w:rPr>
          <w:sz w:val="28"/>
          <w:szCs w:val="28"/>
        </w:rPr>
      </w:pPr>
    </w:p>
    <w:p w:rsidR="00B92D41" w:rsidRDefault="00B92D41" w:rsidP="00B92D41">
      <w:pPr>
        <w:spacing w:after="0" w:line="240" w:lineRule="auto"/>
        <w:ind w:left="-709"/>
        <w:rPr>
          <w:color w:val="0000FF"/>
          <w:sz w:val="28"/>
          <w:szCs w:val="28"/>
          <w:u w:val="single"/>
        </w:rPr>
      </w:pPr>
    </w:p>
    <w:p w:rsidR="000B73DC" w:rsidRPr="005E6730" w:rsidRDefault="000B73DC" w:rsidP="000B73DC">
      <w:pPr>
        <w:pStyle w:val="Titre2"/>
        <w:shd w:val="clear" w:color="auto" w:fill="99CCFF"/>
        <w:spacing w:before="0" w:beforeAutospacing="0" w:after="0" w:afterAutospacing="0"/>
        <w:ind w:left="-709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Evènements à venir</w:t>
      </w:r>
    </w:p>
    <w:p w:rsidR="00312797" w:rsidRDefault="00312797" w:rsidP="00BB612D">
      <w:pPr>
        <w:pStyle w:val="Titre2"/>
        <w:spacing w:before="0" w:beforeAutospacing="0" w:after="0" w:afterAutospacing="0"/>
        <w:ind w:hanging="709"/>
        <w:rPr>
          <w:rFonts w:asciiTheme="minorHAnsi" w:hAnsiTheme="minorHAnsi"/>
          <w:b w:val="0"/>
          <w:sz w:val="28"/>
          <w:szCs w:val="28"/>
        </w:rPr>
      </w:pPr>
    </w:p>
    <w:p w:rsidR="00D7001D" w:rsidRDefault="00D7001D" w:rsidP="00D7001D">
      <w:pPr>
        <w:pStyle w:val="Titre2"/>
        <w:spacing w:before="0" w:beforeAutospacing="0" w:after="0" w:afterAutospacing="0"/>
        <w:ind w:left="-709"/>
        <w:rPr>
          <w:rFonts w:asciiTheme="minorHAnsi" w:hAnsiTheme="minorHAnsi"/>
          <w:sz w:val="28"/>
          <w:szCs w:val="28"/>
        </w:rPr>
      </w:pPr>
      <w:r w:rsidRPr="00A913CF">
        <w:rPr>
          <w:rFonts w:asciiTheme="minorHAnsi" w:hAnsiTheme="minorHAnsi"/>
          <w:sz w:val="28"/>
          <w:szCs w:val="28"/>
        </w:rPr>
        <w:t>Conférence ALTER - 2 et 3 juillet 2015</w:t>
      </w:r>
    </w:p>
    <w:p w:rsidR="00F0223B" w:rsidRPr="00BB612D" w:rsidRDefault="00F0223B" w:rsidP="00D7001D">
      <w:pPr>
        <w:pStyle w:val="Titre2"/>
        <w:spacing w:before="0" w:beforeAutospacing="0" w:after="0" w:afterAutospacing="0"/>
        <w:ind w:left="-709"/>
        <w:rPr>
          <w:rFonts w:asciiTheme="minorHAnsi" w:hAnsiTheme="minorHAnsi"/>
          <w:sz w:val="22"/>
          <w:szCs w:val="22"/>
        </w:rPr>
      </w:pPr>
    </w:p>
    <w:p w:rsidR="00D7001D" w:rsidRDefault="00D7001D" w:rsidP="00D7001D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  <w:r w:rsidRPr="00A913CF">
        <w:rPr>
          <w:rFonts w:asciiTheme="minorHAnsi" w:hAnsiTheme="minorHAnsi"/>
          <w:b w:val="0"/>
          <w:sz w:val="28"/>
          <w:szCs w:val="28"/>
        </w:rPr>
        <w:t>L’objectif de la conférence</w:t>
      </w:r>
      <w:r>
        <w:rPr>
          <w:rFonts w:asciiTheme="minorHAnsi" w:hAnsiTheme="minorHAnsi"/>
          <w:b w:val="0"/>
          <w:sz w:val="28"/>
          <w:szCs w:val="28"/>
        </w:rPr>
        <w:t>, qui se déroule à Paris,</w:t>
      </w:r>
      <w:r w:rsidRPr="00A913CF">
        <w:rPr>
          <w:rFonts w:asciiTheme="minorHAnsi" w:hAnsiTheme="minorHAnsi"/>
          <w:b w:val="0"/>
          <w:sz w:val="28"/>
          <w:szCs w:val="28"/>
        </w:rPr>
        <w:t xml:space="preserve"> est d’offrir un panorama pluridisciplinaire, européen et international de la recherche sur le handicap, en abordant aussi bien les dimensions sociohistoriques et politiques</w:t>
      </w:r>
      <w:r>
        <w:rPr>
          <w:rFonts w:asciiTheme="minorHAnsi" w:hAnsiTheme="minorHAnsi"/>
          <w:b w:val="0"/>
          <w:sz w:val="28"/>
          <w:szCs w:val="28"/>
        </w:rPr>
        <w:t>,</w:t>
      </w:r>
      <w:r w:rsidRPr="00A913CF">
        <w:rPr>
          <w:rFonts w:asciiTheme="minorHAnsi" w:hAnsiTheme="minorHAnsi"/>
          <w:b w:val="0"/>
          <w:sz w:val="28"/>
          <w:szCs w:val="28"/>
        </w:rPr>
        <w:t xml:space="preserve"> que l’expérience des acteurs.</w:t>
      </w:r>
    </w:p>
    <w:p w:rsidR="00D7001D" w:rsidRDefault="00D7001D" w:rsidP="00D7001D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Consulter le </w:t>
      </w:r>
      <w:hyperlink r:id="rId17" w:tooltip="site internet de la conférence alter, nouvelle fenêtre" w:history="1">
        <w:r w:rsidRPr="00D7001D">
          <w:rPr>
            <w:rStyle w:val="Lienhypertexte"/>
            <w:rFonts w:asciiTheme="minorHAnsi" w:hAnsiTheme="minorHAnsi"/>
            <w:b w:val="0"/>
            <w:sz w:val="28"/>
            <w:szCs w:val="28"/>
          </w:rPr>
          <w:t>site internet de la conférence</w:t>
        </w:r>
      </w:hyperlink>
      <w:r>
        <w:rPr>
          <w:rFonts w:asciiTheme="minorHAnsi" w:hAnsiTheme="minorHAnsi"/>
          <w:b w:val="0"/>
          <w:sz w:val="28"/>
          <w:szCs w:val="28"/>
        </w:rPr>
        <w:t>.</w:t>
      </w:r>
    </w:p>
    <w:p w:rsidR="00654CCC" w:rsidRDefault="00654CCC" w:rsidP="00D7001D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</w:p>
    <w:p w:rsidR="00F0223B" w:rsidRDefault="00F0223B" w:rsidP="00D7001D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</w:p>
    <w:p w:rsidR="00D02E22" w:rsidRPr="000B73DC" w:rsidRDefault="00D02E22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sz w:val="28"/>
          <w:szCs w:val="28"/>
        </w:rPr>
      </w:pPr>
      <w:r w:rsidRPr="000B73DC">
        <w:rPr>
          <w:rFonts w:asciiTheme="minorHAnsi" w:hAnsiTheme="minorHAnsi"/>
          <w:sz w:val="28"/>
          <w:szCs w:val="28"/>
        </w:rPr>
        <w:t>23</w:t>
      </w:r>
      <w:r w:rsidRPr="000B73DC">
        <w:rPr>
          <w:rFonts w:asciiTheme="minorHAnsi" w:hAnsiTheme="minorHAnsi"/>
          <w:sz w:val="28"/>
          <w:szCs w:val="28"/>
          <w:vertAlign w:val="superscript"/>
        </w:rPr>
        <w:t>e</w:t>
      </w:r>
      <w:r w:rsidRPr="000B73DC">
        <w:rPr>
          <w:rFonts w:asciiTheme="minorHAnsi" w:hAnsiTheme="minorHAnsi"/>
          <w:sz w:val="28"/>
          <w:szCs w:val="28"/>
        </w:rPr>
        <w:t xml:space="preserve"> Conférence européenne des services sociaux – 6,7 et 8 Juillet 2015</w:t>
      </w:r>
    </w:p>
    <w:p w:rsidR="00F0223B" w:rsidRPr="00BB612D" w:rsidRDefault="00F0223B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2"/>
          <w:szCs w:val="22"/>
        </w:rPr>
      </w:pPr>
    </w:p>
    <w:p w:rsidR="00D02E22" w:rsidRDefault="00D02E22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Organisée par le Réseau Social Européen, cette conférence aura pour thème : « Etablir des partenariats pour améliorer les vies » et se déroulera à Lisbonne. </w:t>
      </w:r>
    </w:p>
    <w:p w:rsidR="00D02E22" w:rsidRDefault="00D02E22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Plus d’informations sur le </w:t>
      </w:r>
      <w:hyperlink r:id="rId18" w:tooltip="Site internet de la conférence européenne des services sociaux, nouvelle fenêtre" w:history="1">
        <w:r w:rsidRPr="00D02E22">
          <w:rPr>
            <w:rStyle w:val="Lienhypertexte"/>
            <w:rFonts w:asciiTheme="minorHAnsi" w:hAnsiTheme="minorHAnsi"/>
            <w:b w:val="0"/>
            <w:sz w:val="28"/>
            <w:szCs w:val="28"/>
          </w:rPr>
          <w:t>site internet de la conférence</w:t>
        </w:r>
      </w:hyperlink>
      <w:r>
        <w:rPr>
          <w:rFonts w:asciiTheme="minorHAnsi" w:hAnsiTheme="minorHAnsi"/>
          <w:b w:val="0"/>
          <w:sz w:val="28"/>
          <w:szCs w:val="28"/>
        </w:rPr>
        <w:t>.</w:t>
      </w:r>
    </w:p>
    <w:p w:rsidR="00D02E22" w:rsidRDefault="00D02E22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</w:p>
    <w:p w:rsidR="00F0223B" w:rsidRDefault="00F0223B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</w:p>
    <w:p w:rsidR="00A913CF" w:rsidRPr="00A8220A" w:rsidRDefault="00194C5C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sz w:val="28"/>
          <w:szCs w:val="28"/>
        </w:rPr>
      </w:pPr>
      <w:r w:rsidRPr="00A8220A">
        <w:rPr>
          <w:rFonts w:asciiTheme="minorHAnsi" w:hAnsiTheme="minorHAnsi"/>
          <w:sz w:val="28"/>
          <w:szCs w:val="28"/>
        </w:rPr>
        <w:t xml:space="preserve">Colloque Xe anniversaire du GIFFOCH -  </w:t>
      </w:r>
      <w:r w:rsidR="00A8220A" w:rsidRPr="00A8220A">
        <w:rPr>
          <w:rFonts w:asciiTheme="minorHAnsi" w:hAnsiTheme="minorHAnsi"/>
          <w:sz w:val="28"/>
          <w:szCs w:val="28"/>
        </w:rPr>
        <w:t>8 et 9 octobre 2015</w:t>
      </w:r>
    </w:p>
    <w:p w:rsidR="00A913CF" w:rsidRPr="00BB612D" w:rsidRDefault="00A913CF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2"/>
          <w:szCs w:val="22"/>
        </w:rPr>
      </w:pPr>
    </w:p>
    <w:p w:rsidR="007F4763" w:rsidRDefault="00194C5C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Ce colloque anniversaire du Groupe International Francophone pour la Formation aux Classifications du Handicap </w:t>
      </w:r>
      <w:r w:rsidR="00A8220A">
        <w:rPr>
          <w:rFonts w:asciiTheme="minorHAnsi" w:hAnsiTheme="minorHAnsi"/>
          <w:b w:val="0"/>
          <w:sz w:val="28"/>
          <w:szCs w:val="28"/>
        </w:rPr>
        <w:t>est organisé à Rennes sur la thématique « Participation sociale et qualité de vie des personnes handicapées ». Il a pour objectif d’ouvrir un dialogue atour de la participation sociale et de la qualité de vie, entre chercheurs, professionnels et personnes handicapées.</w:t>
      </w:r>
    </w:p>
    <w:p w:rsidR="00A8220A" w:rsidRDefault="002C689D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  <w:hyperlink r:id="rId19" w:tooltip="site internet du colloque anniversaire du GIFFOCH, nouvelle fenêtre" w:history="1">
        <w:r w:rsidR="00A8220A" w:rsidRPr="00A8220A">
          <w:rPr>
            <w:rStyle w:val="Lienhypertexte"/>
            <w:rFonts w:asciiTheme="minorHAnsi" w:hAnsiTheme="minorHAnsi"/>
            <w:b w:val="0"/>
            <w:sz w:val="28"/>
            <w:szCs w:val="28"/>
          </w:rPr>
          <w:t>Site internet du colloque</w:t>
        </w:r>
      </w:hyperlink>
      <w:r w:rsidR="00A8220A">
        <w:rPr>
          <w:rFonts w:asciiTheme="minorHAnsi" w:hAnsiTheme="minorHAnsi"/>
          <w:b w:val="0"/>
          <w:sz w:val="28"/>
          <w:szCs w:val="28"/>
        </w:rPr>
        <w:t>.</w:t>
      </w:r>
    </w:p>
    <w:p w:rsidR="00AA0969" w:rsidRDefault="00AA0969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</w:p>
    <w:p w:rsidR="00AA0969" w:rsidRDefault="00AA0969" w:rsidP="00A338BB">
      <w:pPr>
        <w:pStyle w:val="Titre2"/>
        <w:spacing w:before="0" w:beforeAutospacing="0" w:after="0" w:afterAutospacing="0"/>
        <w:ind w:left="-709"/>
        <w:rPr>
          <w:rFonts w:asciiTheme="minorHAnsi" w:hAnsiTheme="minorHAnsi"/>
          <w:b w:val="0"/>
          <w:sz w:val="28"/>
          <w:szCs w:val="28"/>
        </w:rPr>
      </w:pPr>
    </w:p>
    <w:p w:rsidR="00946466" w:rsidRPr="00495A8D" w:rsidRDefault="00946466" w:rsidP="00BB612D">
      <w:pPr>
        <w:pStyle w:val="Titre2"/>
        <w:spacing w:before="0" w:beforeAutospacing="0" w:after="0" w:afterAutospacing="0"/>
        <w:ind w:hanging="709"/>
        <w:rPr>
          <w:rFonts w:asciiTheme="minorHAnsi" w:hAnsiTheme="minorHAnsi"/>
          <w:b w:val="0"/>
          <w:sz w:val="28"/>
          <w:szCs w:val="28"/>
        </w:rPr>
      </w:pPr>
    </w:p>
    <w:p w:rsidR="00946466" w:rsidRPr="002A78CE" w:rsidRDefault="00946466" w:rsidP="00627C05">
      <w:pPr>
        <w:shd w:val="clear" w:color="auto" w:fill="CCFFCC"/>
        <w:spacing w:after="0" w:line="240" w:lineRule="auto"/>
        <w:ind w:left="-709"/>
        <w:rPr>
          <w:sz w:val="28"/>
          <w:szCs w:val="28"/>
        </w:rPr>
      </w:pPr>
      <w:r w:rsidRPr="002A78CE">
        <w:rPr>
          <w:sz w:val="28"/>
          <w:szCs w:val="28"/>
        </w:rPr>
        <w:t>Rédact</w:t>
      </w:r>
      <w:r w:rsidR="00AA7BF2" w:rsidRPr="002A78CE">
        <w:rPr>
          <w:sz w:val="28"/>
          <w:szCs w:val="28"/>
        </w:rPr>
        <w:t>eur en chef</w:t>
      </w:r>
      <w:r w:rsidR="00495A8D">
        <w:rPr>
          <w:sz w:val="28"/>
          <w:szCs w:val="28"/>
        </w:rPr>
        <w:t xml:space="preserve"> </w:t>
      </w:r>
      <w:r w:rsidRPr="002A78CE">
        <w:rPr>
          <w:sz w:val="28"/>
          <w:szCs w:val="28"/>
        </w:rPr>
        <w:t xml:space="preserve">: </w:t>
      </w:r>
      <w:r w:rsidR="00AA7BF2" w:rsidRPr="002A78CE">
        <w:rPr>
          <w:sz w:val="28"/>
          <w:szCs w:val="28"/>
        </w:rPr>
        <w:t>Philippe Miet</w:t>
      </w:r>
    </w:p>
    <w:p w:rsidR="00946466" w:rsidRDefault="00AA7BF2" w:rsidP="00627C05">
      <w:pPr>
        <w:shd w:val="clear" w:color="auto" w:fill="CCFFCC"/>
        <w:spacing w:after="0" w:line="240" w:lineRule="auto"/>
        <w:ind w:left="-709"/>
        <w:rPr>
          <w:sz w:val="28"/>
          <w:szCs w:val="28"/>
        </w:rPr>
      </w:pPr>
      <w:r w:rsidRPr="002A78CE">
        <w:rPr>
          <w:sz w:val="28"/>
          <w:szCs w:val="28"/>
        </w:rPr>
        <w:t xml:space="preserve">Directeur de la publication </w:t>
      </w:r>
      <w:r w:rsidR="00946466" w:rsidRPr="002A78CE">
        <w:rPr>
          <w:sz w:val="28"/>
          <w:szCs w:val="28"/>
        </w:rPr>
        <w:t xml:space="preserve">: </w:t>
      </w:r>
      <w:r w:rsidRPr="002A78CE">
        <w:rPr>
          <w:sz w:val="28"/>
          <w:szCs w:val="28"/>
        </w:rPr>
        <w:t>Albert Prévos</w:t>
      </w:r>
    </w:p>
    <w:p w:rsidR="00627C05" w:rsidRDefault="00627C05" w:rsidP="00A338BB">
      <w:pPr>
        <w:shd w:val="clear" w:color="auto" w:fill="CCFFCC"/>
        <w:ind w:left="-709"/>
        <w:rPr>
          <w:sz w:val="28"/>
          <w:szCs w:val="28"/>
        </w:rPr>
      </w:pPr>
    </w:p>
    <w:p w:rsidR="00627C05" w:rsidRDefault="00627C05" w:rsidP="00A338BB">
      <w:pPr>
        <w:shd w:val="clear" w:color="auto" w:fill="CCFFCC"/>
        <w:ind w:left="-709"/>
        <w:rPr>
          <w:sz w:val="28"/>
          <w:szCs w:val="28"/>
        </w:rPr>
      </w:pPr>
      <w:r w:rsidRPr="00627C05">
        <w:rPr>
          <w:sz w:val="28"/>
          <w:szCs w:val="28"/>
        </w:rPr>
        <w:t>Vous souhaitez une information supplémentaire ? Vous organisez un évènement sur les politiques européennes du handicap ? Vous souhaitez vous désinscrire ?</w:t>
      </w:r>
    </w:p>
    <w:p w:rsidR="00627C05" w:rsidRDefault="00627C05" w:rsidP="00A338BB">
      <w:pPr>
        <w:shd w:val="clear" w:color="auto" w:fill="CCFFCC"/>
        <w:ind w:left="-709"/>
        <w:rPr>
          <w:sz w:val="28"/>
          <w:szCs w:val="28"/>
        </w:rPr>
      </w:pPr>
      <w:r w:rsidRPr="00627C05">
        <w:rPr>
          <w:sz w:val="28"/>
          <w:szCs w:val="28"/>
        </w:rPr>
        <w:t xml:space="preserve">N’hésitez pas à nous </w:t>
      </w:r>
      <w:r>
        <w:rPr>
          <w:sz w:val="28"/>
          <w:szCs w:val="28"/>
        </w:rPr>
        <w:t>c</w:t>
      </w:r>
      <w:r w:rsidRPr="00627C05">
        <w:rPr>
          <w:sz w:val="28"/>
          <w:szCs w:val="28"/>
        </w:rPr>
        <w:t>ontacter! delegationpermanente@cfhe.org</w:t>
      </w:r>
    </w:p>
    <w:sectPr w:rsidR="00627C05" w:rsidSect="00BD6296">
      <w:footerReference w:type="default" r:id="rId20"/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9D" w:rsidRDefault="002C689D" w:rsidP="00A913CF">
      <w:pPr>
        <w:spacing w:after="0" w:line="240" w:lineRule="auto"/>
      </w:pPr>
      <w:r>
        <w:separator/>
      </w:r>
    </w:p>
  </w:endnote>
  <w:endnote w:type="continuationSeparator" w:id="0">
    <w:p w:rsidR="002C689D" w:rsidRDefault="002C689D" w:rsidP="00A9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440687"/>
      <w:docPartObj>
        <w:docPartGallery w:val="Page Numbers (Bottom of Page)"/>
        <w:docPartUnique/>
      </w:docPartObj>
    </w:sdtPr>
    <w:sdtEndPr/>
    <w:sdtContent>
      <w:p w:rsidR="00A913CF" w:rsidRDefault="00A913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9D" w:rsidRDefault="002C689D" w:rsidP="00A913CF">
      <w:pPr>
        <w:spacing w:after="0" w:line="240" w:lineRule="auto"/>
      </w:pPr>
      <w:r>
        <w:separator/>
      </w:r>
    </w:p>
  </w:footnote>
  <w:footnote w:type="continuationSeparator" w:id="0">
    <w:p w:rsidR="002C689D" w:rsidRDefault="002C689D" w:rsidP="00A9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B75"/>
    <w:multiLevelType w:val="hybridMultilevel"/>
    <w:tmpl w:val="1020DCFC"/>
    <w:lvl w:ilvl="0" w:tplc="9C12D67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2EF4"/>
    <w:multiLevelType w:val="hybridMultilevel"/>
    <w:tmpl w:val="EB3AA7D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0564DBD"/>
    <w:multiLevelType w:val="hybridMultilevel"/>
    <w:tmpl w:val="4474A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3B5B"/>
    <w:multiLevelType w:val="hybridMultilevel"/>
    <w:tmpl w:val="B6A08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A2982"/>
    <w:multiLevelType w:val="multilevel"/>
    <w:tmpl w:val="1FE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4C5DFE"/>
    <w:multiLevelType w:val="multilevel"/>
    <w:tmpl w:val="216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647C2"/>
    <w:multiLevelType w:val="hybridMultilevel"/>
    <w:tmpl w:val="59CE8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6E15"/>
    <w:multiLevelType w:val="hybridMultilevel"/>
    <w:tmpl w:val="F678FA4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4EC3C95"/>
    <w:multiLevelType w:val="hybridMultilevel"/>
    <w:tmpl w:val="C05868A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5D1B25D2"/>
    <w:multiLevelType w:val="hybridMultilevel"/>
    <w:tmpl w:val="3104E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22E82"/>
    <w:multiLevelType w:val="hybridMultilevel"/>
    <w:tmpl w:val="E5B4D1A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9622D0C"/>
    <w:multiLevelType w:val="hybridMultilevel"/>
    <w:tmpl w:val="9D2C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F6564"/>
    <w:multiLevelType w:val="hybridMultilevel"/>
    <w:tmpl w:val="F87C626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6ED35D35"/>
    <w:multiLevelType w:val="hybridMultilevel"/>
    <w:tmpl w:val="02BC6180"/>
    <w:lvl w:ilvl="0" w:tplc="664A8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20F5B"/>
    <w:multiLevelType w:val="hybridMultilevel"/>
    <w:tmpl w:val="7B060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68"/>
    <w:rsid w:val="00005D46"/>
    <w:rsid w:val="0006183F"/>
    <w:rsid w:val="00062C4B"/>
    <w:rsid w:val="000826D0"/>
    <w:rsid w:val="0009511F"/>
    <w:rsid w:val="000A5927"/>
    <w:rsid w:val="000B73DC"/>
    <w:rsid w:val="000D0478"/>
    <w:rsid w:val="000D0721"/>
    <w:rsid w:val="000E2A01"/>
    <w:rsid w:val="00116539"/>
    <w:rsid w:val="00136DA4"/>
    <w:rsid w:val="00165AA2"/>
    <w:rsid w:val="0016698E"/>
    <w:rsid w:val="00186D86"/>
    <w:rsid w:val="001917CD"/>
    <w:rsid w:val="00192136"/>
    <w:rsid w:val="00194C5C"/>
    <w:rsid w:val="001A56BF"/>
    <w:rsid w:val="001B1536"/>
    <w:rsid w:val="001B594A"/>
    <w:rsid w:val="001B5CBC"/>
    <w:rsid w:val="001C7C3D"/>
    <w:rsid w:val="001F5C0B"/>
    <w:rsid w:val="00207BC6"/>
    <w:rsid w:val="00251E5E"/>
    <w:rsid w:val="002524B9"/>
    <w:rsid w:val="00263F70"/>
    <w:rsid w:val="002703F3"/>
    <w:rsid w:val="00276667"/>
    <w:rsid w:val="0028098A"/>
    <w:rsid w:val="00282442"/>
    <w:rsid w:val="002A78CE"/>
    <w:rsid w:val="002B1A25"/>
    <w:rsid w:val="002B21D5"/>
    <w:rsid w:val="002C689D"/>
    <w:rsid w:val="002D2230"/>
    <w:rsid w:val="002F121D"/>
    <w:rsid w:val="00312797"/>
    <w:rsid w:val="003323B6"/>
    <w:rsid w:val="00345D05"/>
    <w:rsid w:val="003831D0"/>
    <w:rsid w:val="0039284E"/>
    <w:rsid w:val="003A7E2A"/>
    <w:rsid w:val="003C7AE7"/>
    <w:rsid w:val="003D562B"/>
    <w:rsid w:val="00404953"/>
    <w:rsid w:val="00410166"/>
    <w:rsid w:val="00446374"/>
    <w:rsid w:val="004802D5"/>
    <w:rsid w:val="00481108"/>
    <w:rsid w:val="004955A0"/>
    <w:rsid w:val="00495A8D"/>
    <w:rsid w:val="0049605B"/>
    <w:rsid w:val="004A1EDC"/>
    <w:rsid w:val="004C0C1C"/>
    <w:rsid w:val="004C47E4"/>
    <w:rsid w:val="004C7AEE"/>
    <w:rsid w:val="004F73A4"/>
    <w:rsid w:val="0051320D"/>
    <w:rsid w:val="0053557D"/>
    <w:rsid w:val="00536224"/>
    <w:rsid w:val="00542568"/>
    <w:rsid w:val="0056161E"/>
    <w:rsid w:val="00586424"/>
    <w:rsid w:val="005A3EAB"/>
    <w:rsid w:val="005A7A4A"/>
    <w:rsid w:val="005E6730"/>
    <w:rsid w:val="00626A8B"/>
    <w:rsid w:val="00627C05"/>
    <w:rsid w:val="006359EE"/>
    <w:rsid w:val="00654CCC"/>
    <w:rsid w:val="0066508D"/>
    <w:rsid w:val="006711D3"/>
    <w:rsid w:val="006B7822"/>
    <w:rsid w:val="006C306E"/>
    <w:rsid w:val="006D239B"/>
    <w:rsid w:val="006D5069"/>
    <w:rsid w:val="006D70B2"/>
    <w:rsid w:val="006E62FD"/>
    <w:rsid w:val="006F6E01"/>
    <w:rsid w:val="007009E6"/>
    <w:rsid w:val="007314B3"/>
    <w:rsid w:val="007337B0"/>
    <w:rsid w:val="007405CD"/>
    <w:rsid w:val="0076715B"/>
    <w:rsid w:val="007B1C71"/>
    <w:rsid w:val="007C0759"/>
    <w:rsid w:val="007C246B"/>
    <w:rsid w:val="007D49A5"/>
    <w:rsid w:val="007F4763"/>
    <w:rsid w:val="00801367"/>
    <w:rsid w:val="008247C6"/>
    <w:rsid w:val="00830FC2"/>
    <w:rsid w:val="00844CAE"/>
    <w:rsid w:val="00846992"/>
    <w:rsid w:val="0085137B"/>
    <w:rsid w:val="008604FC"/>
    <w:rsid w:val="008672BA"/>
    <w:rsid w:val="0087383D"/>
    <w:rsid w:val="00891BED"/>
    <w:rsid w:val="009027E6"/>
    <w:rsid w:val="00937E37"/>
    <w:rsid w:val="00946466"/>
    <w:rsid w:val="00995932"/>
    <w:rsid w:val="009A72CB"/>
    <w:rsid w:val="009D2A25"/>
    <w:rsid w:val="009E76C4"/>
    <w:rsid w:val="00A01246"/>
    <w:rsid w:val="00A02F6C"/>
    <w:rsid w:val="00A048B4"/>
    <w:rsid w:val="00A26BD0"/>
    <w:rsid w:val="00A338BB"/>
    <w:rsid w:val="00A43D7E"/>
    <w:rsid w:val="00A54693"/>
    <w:rsid w:val="00A8220A"/>
    <w:rsid w:val="00A913CF"/>
    <w:rsid w:val="00A9305B"/>
    <w:rsid w:val="00AA0969"/>
    <w:rsid w:val="00AA7BF2"/>
    <w:rsid w:val="00AD1D78"/>
    <w:rsid w:val="00B244CF"/>
    <w:rsid w:val="00B25533"/>
    <w:rsid w:val="00B46879"/>
    <w:rsid w:val="00B618E6"/>
    <w:rsid w:val="00B92D41"/>
    <w:rsid w:val="00BB2751"/>
    <w:rsid w:val="00BB612D"/>
    <w:rsid w:val="00BC06DA"/>
    <w:rsid w:val="00BC29F6"/>
    <w:rsid w:val="00BD6296"/>
    <w:rsid w:val="00C12345"/>
    <w:rsid w:val="00C34426"/>
    <w:rsid w:val="00C54F68"/>
    <w:rsid w:val="00C66A9F"/>
    <w:rsid w:val="00C72161"/>
    <w:rsid w:val="00C81C7A"/>
    <w:rsid w:val="00CA09CF"/>
    <w:rsid w:val="00CA285E"/>
    <w:rsid w:val="00CB7204"/>
    <w:rsid w:val="00CD4236"/>
    <w:rsid w:val="00CF5235"/>
    <w:rsid w:val="00D01066"/>
    <w:rsid w:val="00D02661"/>
    <w:rsid w:val="00D02E22"/>
    <w:rsid w:val="00D36186"/>
    <w:rsid w:val="00D53650"/>
    <w:rsid w:val="00D55DF3"/>
    <w:rsid w:val="00D576D5"/>
    <w:rsid w:val="00D7001D"/>
    <w:rsid w:val="00DE1B47"/>
    <w:rsid w:val="00E03383"/>
    <w:rsid w:val="00E3534D"/>
    <w:rsid w:val="00E408F1"/>
    <w:rsid w:val="00E73FC4"/>
    <w:rsid w:val="00E9039D"/>
    <w:rsid w:val="00E96DCB"/>
    <w:rsid w:val="00EA05BB"/>
    <w:rsid w:val="00ED33DD"/>
    <w:rsid w:val="00F0223B"/>
    <w:rsid w:val="00F1388F"/>
    <w:rsid w:val="00F14FD5"/>
    <w:rsid w:val="00F50E8F"/>
    <w:rsid w:val="00F66EF1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946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F6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9464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rsid w:val="00946466"/>
    <w:rPr>
      <w:color w:val="0000FF"/>
      <w:u w:val="single"/>
    </w:rPr>
  </w:style>
  <w:style w:type="character" w:styleId="lev">
    <w:name w:val="Strong"/>
    <w:uiPriority w:val="22"/>
    <w:qFormat/>
    <w:rsid w:val="009464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46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D2230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251E5E"/>
    <w:rPr>
      <w:i/>
      <w:iCs/>
    </w:rPr>
  </w:style>
  <w:style w:type="character" w:customStyle="1" w:styleId="apple-converted-space">
    <w:name w:val="apple-converted-space"/>
    <w:basedOn w:val="Policepardfaut"/>
    <w:rsid w:val="00251E5E"/>
  </w:style>
  <w:style w:type="paragraph" w:styleId="NormalWeb">
    <w:name w:val="Normal (Web)"/>
    <w:basedOn w:val="Normal"/>
    <w:uiPriority w:val="99"/>
    <w:unhideWhenUsed/>
    <w:rsid w:val="001B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5A7A4A"/>
  </w:style>
  <w:style w:type="paragraph" w:styleId="En-tte">
    <w:name w:val="header"/>
    <w:basedOn w:val="Normal"/>
    <w:link w:val="En-tteCar"/>
    <w:uiPriority w:val="99"/>
    <w:unhideWhenUsed/>
    <w:rsid w:val="00A9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3CF"/>
  </w:style>
  <w:style w:type="paragraph" w:styleId="Pieddepage">
    <w:name w:val="footer"/>
    <w:basedOn w:val="Normal"/>
    <w:link w:val="PieddepageCar"/>
    <w:uiPriority w:val="99"/>
    <w:unhideWhenUsed/>
    <w:rsid w:val="00A9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3CF"/>
  </w:style>
  <w:style w:type="paragraph" w:styleId="Corpsdetexte">
    <w:name w:val="Body Text"/>
    <w:basedOn w:val="Normal"/>
    <w:link w:val="CorpsdetexteCar"/>
    <w:unhideWhenUsed/>
    <w:rsid w:val="004C4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47E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946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F6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9464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rsid w:val="00946466"/>
    <w:rPr>
      <w:color w:val="0000FF"/>
      <w:u w:val="single"/>
    </w:rPr>
  </w:style>
  <w:style w:type="character" w:styleId="lev">
    <w:name w:val="Strong"/>
    <w:uiPriority w:val="22"/>
    <w:qFormat/>
    <w:rsid w:val="009464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46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D2230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251E5E"/>
    <w:rPr>
      <w:i/>
      <w:iCs/>
    </w:rPr>
  </w:style>
  <w:style w:type="character" w:customStyle="1" w:styleId="apple-converted-space">
    <w:name w:val="apple-converted-space"/>
    <w:basedOn w:val="Policepardfaut"/>
    <w:rsid w:val="00251E5E"/>
  </w:style>
  <w:style w:type="paragraph" w:styleId="NormalWeb">
    <w:name w:val="Normal (Web)"/>
    <w:basedOn w:val="Normal"/>
    <w:uiPriority w:val="99"/>
    <w:unhideWhenUsed/>
    <w:rsid w:val="001B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5A7A4A"/>
  </w:style>
  <w:style w:type="paragraph" w:styleId="En-tte">
    <w:name w:val="header"/>
    <w:basedOn w:val="Normal"/>
    <w:link w:val="En-tteCar"/>
    <w:uiPriority w:val="99"/>
    <w:unhideWhenUsed/>
    <w:rsid w:val="00A9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3CF"/>
  </w:style>
  <w:style w:type="paragraph" w:styleId="Pieddepage">
    <w:name w:val="footer"/>
    <w:basedOn w:val="Normal"/>
    <w:link w:val="PieddepageCar"/>
    <w:uiPriority w:val="99"/>
    <w:unhideWhenUsed/>
    <w:rsid w:val="00A9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3CF"/>
  </w:style>
  <w:style w:type="paragraph" w:styleId="Corpsdetexte">
    <w:name w:val="Body Text"/>
    <w:basedOn w:val="Normal"/>
    <w:link w:val="CorpsdetexteCar"/>
    <w:unhideWhenUsed/>
    <w:rsid w:val="004C4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47E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he.org/upload/accueil/2015/Rapport%20de%20fin%20de%20mandature%20de%20la%20Commission%20ONU%20du%20CNCPH-2.pdf" TargetMode="External"/><Relationship Id="rId18" Type="http://schemas.openxmlformats.org/officeDocument/2006/relationships/hyperlink" Target="http://conference.esn-eu.org/fr/hom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fhe.blogs.apf.asso.fr/" TargetMode="External"/><Relationship Id="rId17" Type="http://schemas.openxmlformats.org/officeDocument/2006/relationships/hyperlink" Target="http://alterconf2015.sciencesconf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-pilotis.b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fhe.blogs.apf.asso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uvernement.fr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giffoch.org/283/colloque-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he.org/" TargetMode="External"/><Relationship Id="rId14" Type="http://schemas.openxmlformats.org/officeDocument/2006/relationships/hyperlink" Target="http://www.un.org/disabilities/default.asp?id=16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D42-D38D-4E2C-8FB4-A3AF4598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BOZHKOVA</dc:creator>
  <cp:lastModifiedBy>adminlv1</cp:lastModifiedBy>
  <cp:revision>2</cp:revision>
  <cp:lastPrinted>2015-05-20T06:47:00Z</cp:lastPrinted>
  <dcterms:created xsi:type="dcterms:W3CDTF">2015-07-09T08:48:00Z</dcterms:created>
  <dcterms:modified xsi:type="dcterms:W3CDTF">2015-07-09T08:48:00Z</dcterms:modified>
</cp:coreProperties>
</file>